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W w:w="5000" w:type="pct"/>
        <w:tblInd w:w="-5" w:type="dxa"/>
        <w:tblLayout w:type="fixed"/>
        <w:tblLook w:val="04A0" w:firstRow="1" w:lastRow="0" w:firstColumn="1" w:lastColumn="0" w:noHBand="0" w:noVBand="1"/>
      </w:tblPr>
      <w:tblGrid>
        <w:gridCol w:w="1184"/>
        <w:gridCol w:w="1367"/>
        <w:gridCol w:w="1133"/>
        <w:gridCol w:w="914"/>
        <w:gridCol w:w="5034"/>
        <w:gridCol w:w="4675"/>
      </w:tblGrid>
      <w:tr w:rsidR="00FE05D9" w:rsidRPr="0011437E" w14:paraId="64807F47" w14:textId="77777777" w:rsidTr="00547B54">
        <w:trPr>
          <w:cnfStyle w:val="100000000000" w:firstRow="1" w:lastRow="0" w:firstColumn="0" w:lastColumn="0" w:oddVBand="0" w:evenVBand="0" w:oddHBand="0" w:evenHBand="0" w:firstRowFirstColumn="0" w:firstRowLastColumn="0" w:lastRowFirstColumn="0" w:lastRowLastColumn="0"/>
          <w:trHeight w:val="459"/>
          <w:tblHeader/>
        </w:trPr>
        <w:tc>
          <w:tcPr>
            <w:cnfStyle w:val="001000000000" w:firstRow="0" w:lastRow="0" w:firstColumn="1" w:lastColumn="0" w:oddVBand="0" w:evenVBand="0" w:oddHBand="0" w:evenHBand="0" w:firstRowFirstColumn="0" w:firstRowLastColumn="0" w:lastRowFirstColumn="0" w:lastRowLastColumn="0"/>
            <w:tcW w:w="1184" w:type="dxa"/>
          </w:tcPr>
          <w:p w14:paraId="4B97D01D" w14:textId="77777777" w:rsidR="00FE05D9" w:rsidRPr="0011437E" w:rsidRDefault="00FE05D9" w:rsidP="00ED7B02">
            <w:pPr>
              <w:rPr>
                <w:rFonts w:ascii="Arial" w:hAnsi="Arial" w:cs="Arial"/>
                <w:sz w:val="20"/>
                <w:szCs w:val="20"/>
                <w:lang w:val="en-NZ"/>
              </w:rPr>
            </w:pPr>
            <w:r>
              <w:rPr>
                <w:rFonts w:ascii="Arial" w:hAnsi="Arial" w:cs="Arial"/>
                <w:sz w:val="20"/>
                <w:szCs w:val="20"/>
                <w:lang w:val="en-NZ"/>
              </w:rPr>
              <w:t>Submitter</w:t>
            </w:r>
          </w:p>
        </w:tc>
        <w:tc>
          <w:tcPr>
            <w:tcW w:w="1368" w:type="dxa"/>
          </w:tcPr>
          <w:p w14:paraId="1A17BA96" w14:textId="77777777" w:rsidR="00FE05D9" w:rsidRPr="0011437E" w:rsidRDefault="00FE05D9"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Submission Point</w:t>
            </w:r>
          </w:p>
        </w:tc>
        <w:tc>
          <w:tcPr>
            <w:tcW w:w="1134" w:type="dxa"/>
          </w:tcPr>
          <w:p w14:paraId="469E7263" w14:textId="77777777" w:rsidR="00FE05D9" w:rsidRDefault="00FE05D9"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Provision</w:t>
            </w:r>
          </w:p>
        </w:tc>
        <w:tc>
          <w:tcPr>
            <w:tcW w:w="915" w:type="dxa"/>
          </w:tcPr>
          <w:p w14:paraId="479720B2" w14:textId="77777777" w:rsidR="00FE05D9" w:rsidRPr="0011437E" w:rsidRDefault="00FE05D9"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Pr>
                <w:rFonts w:ascii="Arial" w:hAnsi="Arial" w:cs="Arial"/>
                <w:sz w:val="20"/>
                <w:szCs w:val="20"/>
                <w:lang w:val="en-NZ"/>
              </w:rPr>
              <w:t>Stance</w:t>
            </w:r>
          </w:p>
        </w:tc>
        <w:tc>
          <w:tcPr>
            <w:tcW w:w="5038" w:type="dxa"/>
          </w:tcPr>
          <w:p w14:paraId="0BCE399D" w14:textId="77777777" w:rsidR="00FE05D9" w:rsidRPr="0011437E" w:rsidRDefault="00FE05D9"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Reasons</w:t>
            </w:r>
          </w:p>
        </w:tc>
        <w:tc>
          <w:tcPr>
            <w:tcW w:w="4678" w:type="dxa"/>
          </w:tcPr>
          <w:p w14:paraId="0184F390" w14:textId="77777777" w:rsidR="00FE05D9" w:rsidRPr="0011437E" w:rsidRDefault="00FE05D9" w:rsidP="00ED7B0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NZ"/>
              </w:rPr>
            </w:pPr>
            <w:r w:rsidRPr="0011437E">
              <w:rPr>
                <w:rFonts w:ascii="Arial" w:hAnsi="Arial" w:cs="Arial"/>
                <w:sz w:val="20"/>
                <w:szCs w:val="20"/>
                <w:lang w:val="en-NZ"/>
              </w:rPr>
              <w:t xml:space="preserve">Decision Requested </w:t>
            </w:r>
          </w:p>
        </w:tc>
      </w:tr>
      <w:tr w:rsidR="00FE05D9" w:rsidRPr="0011437E" w14:paraId="384A85F2"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309FA7D4"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S32 Director-General of Conservation  </w:t>
            </w:r>
          </w:p>
        </w:tc>
        <w:tc>
          <w:tcPr>
            <w:tcW w:w="1368" w:type="dxa"/>
          </w:tcPr>
          <w:p w14:paraId="77F6379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S32.037</w:t>
            </w:r>
          </w:p>
        </w:tc>
        <w:tc>
          <w:tcPr>
            <w:tcW w:w="1134" w:type="dxa"/>
          </w:tcPr>
          <w:p w14:paraId="167A132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643D453C"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5038" w:type="dxa"/>
          </w:tcPr>
          <w:p w14:paraId="1D9603FD"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inclusion of this table is an appropriate reflection of the status of the listed ecosystems and species, and is useful for implementation of the relevant policies. However, there are ongoing changes to our knowledge of the status of ecosystems and species (eg threat classifications for plants are currently under review), so the RPS will need to be able to reflect the most up-to-date information.</w:t>
            </w:r>
          </w:p>
        </w:tc>
        <w:tc>
          <w:tcPr>
            <w:tcW w:w="4678" w:type="dxa"/>
          </w:tcPr>
          <w:p w14:paraId="1F23B7A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Table 17, but prior to finalising decisions on the RPS change either update the table to ensure it is as up-to-date as possible, or add generic reference to threat classifications.</w:t>
            </w:r>
            <w:r w:rsidRPr="0011437E">
              <w:rPr>
                <w:rFonts w:ascii="Arial" w:hAnsi="Arial" w:cs="Arial"/>
                <w:sz w:val="18"/>
                <w:szCs w:val="18"/>
              </w:rPr>
              <w:br/>
            </w:r>
            <w:r w:rsidRPr="0011437E">
              <w:rPr>
                <w:rFonts w:ascii="Arial" w:hAnsi="Arial" w:cs="Arial"/>
                <w:sz w:val="18"/>
                <w:szCs w:val="18"/>
              </w:rPr>
              <w:br/>
              <w:t> </w:t>
            </w:r>
          </w:p>
        </w:tc>
      </w:tr>
      <w:tr w:rsidR="00FE05D9" w:rsidRPr="0011437E" w14:paraId="08ADFCE4"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58BE6799"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S94 Guardians of the Bays Incorporated </w:t>
            </w:r>
          </w:p>
        </w:tc>
        <w:tc>
          <w:tcPr>
            <w:tcW w:w="1368" w:type="dxa"/>
          </w:tcPr>
          <w:p w14:paraId="1B99493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S94.021</w:t>
            </w:r>
          </w:p>
        </w:tc>
        <w:tc>
          <w:tcPr>
            <w:tcW w:w="1134" w:type="dxa"/>
          </w:tcPr>
          <w:p w14:paraId="1932D55A"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4E2FAD0B"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5038" w:type="dxa"/>
          </w:tcPr>
          <w:p w14:paraId="160E668D"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Not stated</w:t>
            </w:r>
          </w:p>
        </w:tc>
        <w:tc>
          <w:tcPr>
            <w:tcW w:w="4678" w:type="dxa"/>
          </w:tcPr>
          <w:p w14:paraId="4180E3B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FE05D9" w:rsidRPr="0011437E" w14:paraId="2253E120"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15CB7CE4"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S100 Meridian Energy Limited  </w:t>
            </w:r>
          </w:p>
        </w:tc>
        <w:tc>
          <w:tcPr>
            <w:tcW w:w="1368" w:type="dxa"/>
          </w:tcPr>
          <w:p w14:paraId="3A82E3F0"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S100.027</w:t>
            </w:r>
          </w:p>
        </w:tc>
        <w:tc>
          <w:tcPr>
            <w:tcW w:w="1134" w:type="dxa"/>
          </w:tcPr>
          <w:p w14:paraId="6FBC1DE3"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1ED3780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 in part</w:t>
            </w:r>
          </w:p>
        </w:tc>
        <w:tc>
          <w:tcPr>
            <w:tcW w:w="5038" w:type="dxa"/>
          </w:tcPr>
          <w:p w14:paraId="31AFF05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justification for inclusion of some of the items in proposed Appendix 1A is unclear.</w:t>
            </w:r>
          </w:p>
        </w:tc>
        <w:tc>
          <w:tcPr>
            <w:tcW w:w="4678" w:type="dxa"/>
          </w:tcPr>
          <w:p w14:paraId="45A33C7A"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Delete Appendix 1A</w:t>
            </w:r>
            <w:r w:rsidRPr="0011437E">
              <w:rPr>
                <w:rFonts w:ascii="Arial" w:hAnsi="Arial" w:cs="Arial"/>
                <w:sz w:val="18"/>
                <w:szCs w:val="18"/>
              </w:rPr>
              <w:br/>
              <w:t> </w:t>
            </w:r>
          </w:p>
        </w:tc>
      </w:tr>
      <w:tr w:rsidR="00FE05D9" w:rsidRPr="0011437E" w14:paraId="62A5BBB7"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06F04313"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S123 Peter  Thompson</w:t>
            </w:r>
          </w:p>
        </w:tc>
        <w:tc>
          <w:tcPr>
            <w:tcW w:w="1368" w:type="dxa"/>
          </w:tcPr>
          <w:p w14:paraId="4A49D717"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S123.022</w:t>
            </w:r>
          </w:p>
        </w:tc>
        <w:tc>
          <w:tcPr>
            <w:tcW w:w="1134" w:type="dxa"/>
          </w:tcPr>
          <w:p w14:paraId="5B52133D"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76B8FF5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5038" w:type="dxa"/>
          </w:tcPr>
          <w:p w14:paraId="3229D52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Limits are needed if the decline in biodiversity is to be halted</w:t>
            </w:r>
          </w:p>
        </w:tc>
        <w:tc>
          <w:tcPr>
            <w:tcW w:w="4678" w:type="dxa"/>
          </w:tcPr>
          <w:p w14:paraId="09E2F38A"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FE05D9" w:rsidRPr="0011437E" w14:paraId="600F4647"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0B1F395F"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S144  Sustainable Wairarapa  Inc  </w:t>
            </w:r>
          </w:p>
        </w:tc>
        <w:tc>
          <w:tcPr>
            <w:tcW w:w="1368" w:type="dxa"/>
          </w:tcPr>
          <w:p w14:paraId="47E8957A"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S144.035</w:t>
            </w:r>
          </w:p>
        </w:tc>
        <w:tc>
          <w:tcPr>
            <w:tcW w:w="1134" w:type="dxa"/>
          </w:tcPr>
          <w:p w14:paraId="2C70429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 xml:space="preserve">Appendix 1A: Limits to biodiversity offsetting and </w:t>
            </w:r>
            <w:r w:rsidRPr="0011437E">
              <w:rPr>
                <w:rFonts w:ascii="Arial" w:hAnsi="Arial" w:cs="Arial"/>
                <w:sz w:val="18"/>
                <w:szCs w:val="18"/>
              </w:rPr>
              <w:lastRenderedPageBreak/>
              <w:t>biodiversity compensation</w:t>
            </w:r>
          </w:p>
        </w:tc>
        <w:tc>
          <w:tcPr>
            <w:tcW w:w="915" w:type="dxa"/>
          </w:tcPr>
          <w:p w14:paraId="69B6A6F0"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Support</w:t>
            </w:r>
          </w:p>
        </w:tc>
        <w:tc>
          <w:tcPr>
            <w:tcW w:w="5038" w:type="dxa"/>
          </w:tcPr>
          <w:p w14:paraId="1F2F4578"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Limits are needed if the decline in biodiversity is to be halted</w:t>
            </w:r>
          </w:p>
        </w:tc>
        <w:tc>
          <w:tcPr>
            <w:tcW w:w="4678" w:type="dxa"/>
          </w:tcPr>
          <w:p w14:paraId="7388BEDE"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Retain as notified.</w:t>
            </w:r>
            <w:r w:rsidRPr="0011437E">
              <w:rPr>
                <w:rFonts w:ascii="Arial" w:hAnsi="Arial" w:cs="Arial"/>
                <w:sz w:val="18"/>
                <w:szCs w:val="18"/>
              </w:rPr>
              <w:br/>
              <w:t> </w:t>
            </w:r>
          </w:p>
        </w:tc>
      </w:tr>
      <w:tr w:rsidR="00FE05D9" w:rsidRPr="0011437E" w14:paraId="343F63B8"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450806E8"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S148 Wellington International Airport Ltd (WIAL) </w:t>
            </w:r>
          </w:p>
        </w:tc>
        <w:tc>
          <w:tcPr>
            <w:tcW w:w="1368" w:type="dxa"/>
          </w:tcPr>
          <w:p w14:paraId="5FFDC87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S148.043</w:t>
            </w:r>
          </w:p>
        </w:tc>
        <w:tc>
          <w:tcPr>
            <w:tcW w:w="1134" w:type="dxa"/>
          </w:tcPr>
          <w:p w14:paraId="0D8C164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523F33ED"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5038" w:type="dxa"/>
          </w:tcPr>
          <w:p w14:paraId="5DB7E349"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WIAL is concerned that the list of species in Table 17 is too broad. This coupled with the limits to offsetting and compensation that are set out in Appendix 1A and associated policies will mean that many projects which include beneficial ecological outcomes involving offsetting and/or compensation will not be able to be considered. For</w:t>
            </w:r>
            <w:r w:rsidRPr="0011437E">
              <w:rPr>
                <w:rFonts w:ascii="Arial" w:hAnsi="Arial" w:cs="Arial"/>
                <w:sz w:val="18"/>
                <w:szCs w:val="18"/>
              </w:rPr>
              <w:br/>
              <w:t xml:space="preserve">example, Table 17 sets out that "lake margins" meets or exceed Policy 24(b). </w:t>
            </w:r>
            <w:r w:rsidRPr="0011437E">
              <w:rPr>
                <w:rFonts w:ascii="Arial" w:hAnsi="Arial" w:cs="Arial"/>
                <w:sz w:val="18"/>
                <w:szCs w:val="18"/>
              </w:rPr>
              <w:br/>
              <w:t>The explanation set out in the Appendix 1A sets out that ecosystems and species that meet the criteria for Policy 24(b) exceed the limits of biodiversity compensation meaning that applications for compensation cannot be considered. This appears to be very broad for any activity which may affect a broadly defined "lake margin".</w:t>
            </w:r>
            <w:r w:rsidRPr="0011437E">
              <w:rPr>
                <w:rFonts w:ascii="Arial" w:hAnsi="Arial" w:cs="Arial"/>
                <w:sz w:val="18"/>
                <w:szCs w:val="18"/>
              </w:rPr>
              <w:br/>
              <w:t>Giant kelp which is present around the airport coastal area also triggers both Policy 24(a)(i) and NZCPS Policy 11(a) which when read against Appendix 1A appears that any activities which may impact on species would not be able to offer any offsetting or compensation and therefore proposals could not be considered.</w:t>
            </w:r>
          </w:p>
        </w:tc>
        <w:tc>
          <w:tcPr>
            <w:tcW w:w="4678" w:type="dxa"/>
          </w:tcPr>
          <w:p w14:paraId="72975FB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Delete both Appendix 1A and Table 17 in their entirety. </w:t>
            </w:r>
            <w:r w:rsidRPr="0011437E">
              <w:rPr>
                <w:rFonts w:ascii="Arial" w:hAnsi="Arial" w:cs="Arial"/>
                <w:sz w:val="18"/>
                <w:szCs w:val="18"/>
              </w:rPr>
              <w:br/>
              <w:t> </w:t>
            </w:r>
          </w:p>
        </w:tc>
      </w:tr>
      <w:tr w:rsidR="00FE05D9" w:rsidRPr="0011437E" w14:paraId="225B51E8"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7EE14FE6"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S162 Winstone Aggregates </w:t>
            </w:r>
          </w:p>
        </w:tc>
        <w:tc>
          <w:tcPr>
            <w:tcW w:w="1368" w:type="dxa"/>
          </w:tcPr>
          <w:p w14:paraId="24C3246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S162.018</w:t>
            </w:r>
          </w:p>
        </w:tc>
        <w:tc>
          <w:tcPr>
            <w:tcW w:w="1134" w:type="dxa"/>
          </w:tcPr>
          <w:p w14:paraId="2180D41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665522DC"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5038" w:type="dxa"/>
          </w:tcPr>
          <w:p w14:paraId="6B274E13"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introduction states that 'the setting of limits to the use of offsetting is one of the ten internationally accepted principles of biodiversity offsetting...'. The changes proposed via PPC1 incorrectly interpret this principle are at odds with RMA, case law and direction of the Draft NPSIB (which may or may not become operative), Limiting the total offset to 10% of effects is a crude way to apply limits and in practice will limit and/or prevent opportunities for significant biodiversity gains from our quarrying projects.</w:t>
            </w:r>
            <w:r w:rsidRPr="0011437E">
              <w:rPr>
                <w:rFonts w:ascii="Arial" w:hAnsi="Arial" w:cs="Arial"/>
                <w:sz w:val="18"/>
                <w:szCs w:val="18"/>
              </w:rPr>
              <w:br/>
            </w:r>
            <w:r w:rsidRPr="0011437E">
              <w:rPr>
                <w:rFonts w:ascii="Arial" w:hAnsi="Arial" w:cs="Arial"/>
                <w:sz w:val="18"/>
                <w:szCs w:val="18"/>
              </w:rPr>
              <w:br/>
              <w:t xml:space="preserve">Limiting offset based entirely on presence of species is inappropriate. The costs and benefits of this approach coupled with Policy 24 have not been properly considered or evaluation in the s32 report. It is unclear what the evidential basis is for the species list inclusion or the information that fed into the cost and benefit evaluation. </w:t>
            </w:r>
            <w:r w:rsidRPr="0011437E">
              <w:rPr>
                <w:rFonts w:ascii="Arial" w:hAnsi="Arial" w:cs="Arial"/>
                <w:sz w:val="18"/>
                <w:szCs w:val="18"/>
              </w:rPr>
              <w:br/>
            </w:r>
            <w:r w:rsidRPr="0011437E">
              <w:rPr>
                <w:rFonts w:ascii="Arial" w:hAnsi="Arial" w:cs="Arial"/>
                <w:sz w:val="18"/>
                <w:szCs w:val="18"/>
              </w:rPr>
              <w:br/>
              <w:t xml:space="preserve">The proposed changes effectively mean that will be unable to use offsetting or compensation in the most common </w:t>
            </w:r>
            <w:r w:rsidRPr="0011437E">
              <w:rPr>
                <w:rFonts w:ascii="Arial" w:hAnsi="Arial" w:cs="Arial"/>
                <w:sz w:val="18"/>
                <w:szCs w:val="18"/>
              </w:rPr>
              <w:lastRenderedPageBreak/>
              <w:t>situations where they are most likely to be required, sterilising the aggregate resource and leaving no pathway for quarrying in these circumstances despite the need to occur where the resource is based.</w:t>
            </w:r>
          </w:p>
        </w:tc>
        <w:tc>
          <w:tcPr>
            <w:tcW w:w="4678" w:type="dxa"/>
          </w:tcPr>
          <w:p w14:paraId="5DEB2E47"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lastRenderedPageBreak/>
              <w:t>Delete Appendix 1A.</w:t>
            </w:r>
            <w:r>
              <w:rPr>
                <w:rFonts w:ascii="Arial" w:hAnsi="Arial" w:cs="Arial"/>
                <w:i/>
              </w:rPr>
              <w:t>[Note: Submission reference to prior submission point 009, the rejection of changes to Policy 24]</w:t>
            </w:r>
            <w:r>
              <w:br/>
              <w:t> </w:t>
            </w:r>
          </w:p>
        </w:tc>
      </w:tr>
      <w:tr w:rsidR="00FE05D9" w:rsidRPr="0011437E" w14:paraId="35A36AD8"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2461EB47"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S168 Rangitāne O Wairarapa Inc </w:t>
            </w:r>
          </w:p>
        </w:tc>
        <w:tc>
          <w:tcPr>
            <w:tcW w:w="1368" w:type="dxa"/>
          </w:tcPr>
          <w:p w14:paraId="5B8BCCE5"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S168.082</w:t>
            </w:r>
          </w:p>
        </w:tc>
        <w:tc>
          <w:tcPr>
            <w:tcW w:w="1134" w:type="dxa"/>
          </w:tcPr>
          <w:p w14:paraId="2133502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4897F177"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w:t>
            </w:r>
          </w:p>
        </w:tc>
        <w:tc>
          <w:tcPr>
            <w:tcW w:w="5038" w:type="dxa"/>
          </w:tcPr>
          <w:p w14:paraId="08174CA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Rangitāne o Wairarapa support this appendix, noting the above comments on Policy 24.  </w:t>
            </w:r>
            <w:r w:rsidRPr="0011437E">
              <w:rPr>
                <w:rFonts w:ascii="Arial" w:hAnsi="Arial" w:cs="Arial"/>
                <w:sz w:val="18"/>
                <w:szCs w:val="18"/>
              </w:rPr>
              <w:br/>
              <w:t xml:space="preserve">The inclusion of ecosystem and species names for clarity is supported, acknowledging that this does not preclude additional species or ecosystems being considered.    </w:t>
            </w:r>
          </w:p>
        </w:tc>
        <w:tc>
          <w:tcPr>
            <w:tcW w:w="4678" w:type="dxa"/>
          </w:tcPr>
          <w:p w14:paraId="00E393A2"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Retain as notified </w:t>
            </w:r>
            <w:r w:rsidRPr="0011437E">
              <w:rPr>
                <w:rFonts w:ascii="Arial" w:hAnsi="Arial" w:cs="Arial"/>
                <w:sz w:val="18"/>
                <w:szCs w:val="18"/>
              </w:rPr>
              <w:br/>
              <w:t> </w:t>
            </w:r>
          </w:p>
        </w:tc>
      </w:tr>
      <w:tr w:rsidR="00FE05D9" w:rsidRPr="0011437E" w14:paraId="68B3844D"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5946B4C3"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S115 Hutt City Council </w:t>
            </w:r>
          </w:p>
        </w:tc>
        <w:tc>
          <w:tcPr>
            <w:tcW w:w="1368" w:type="dxa"/>
          </w:tcPr>
          <w:p w14:paraId="08918F69"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S115.0117</w:t>
            </w:r>
          </w:p>
        </w:tc>
        <w:tc>
          <w:tcPr>
            <w:tcW w:w="1134" w:type="dxa"/>
          </w:tcPr>
          <w:p w14:paraId="5F85DFE9"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2DEBD48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Oppose</w:t>
            </w:r>
          </w:p>
        </w:tc>
        <w:tc>
          <w:tcPr>
            <w:tcW w:w="5038" w:type="dxa"/>
          </w:tcPr>
          <w:p w14:paraId="4B44DB37"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While indigenous biodiversity is a key issue, we expect the government to soon gazette a National Policy Statement on Indigenous Biodiversity ("NPS-IB"). The proposed provisions may well conflict with the NPS-IB especially with regards to the process for identifying indigenous ecosystems.</w:t>
            </w:r>
            <w:r w:rsidRPr="0011437E">
              <w:rPr>
                <w:rFonts w:ascii="Arial" w:hAnsi="Arial" w:cs="Arial"/>
                <w:sz w:val="18"/>
                <w:szCs w:val="18"/>
              </w:rPr>
              <w:br/>
            </w:r>
            <w:r w:rsidRPr="0011437E">
              <w:rPr>
                <w:rFonts w:ascii="Arial" w:hAnsi="Arial" w:cs="Arial"/>
                <w:sz w:val="18"/>
                <w:szCs w:val="18"/>
              </w:rPr>
              <w:br/>
              <w:t>We request that all provisions relating to indigenous biodiversity be deleted and if regional direction is thought necessary after the NPS-IB is gazetted, that should occur through a variation or a separate policy statement change.</w:t>
            </w:r>
          </w:p>
        </w:tc>
        <w:tc>
          <w:tcPr>
            <w:tcW w:w="4678" w:type="dxa"/>
          </w:tcPr>
          <w:p w14:paraId="2B9AB23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Delete Appendix</w:t>
            </w:r>
            <w:r w:rsidRPr="0011437E">
              <w:rPr>
                <w:rFonts w:ascii="Arial" w:hAnsi="Arial" w:cs="Arial"/>
                <w:sz w:val="18"/>
                <w:szCs w:val="18"/>
              </w:rPr>
              <w:br/>
              <w:t>1A. </w:t>
            </w:r>
          </w:p>
        </w:tc>
      </w:tr>
      <w:tr w:rsidR="00FE05D9" w:rsidRPr="0011437E" w14:paraId="7FE4361A"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49E77123"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S131 Ātiawa ki Whakarongotai Charitable Trust </w:t>
            </w:r>
          </w:p>
        </w:tc>
        <w:tc>
          <w:tcPr>
            <w:tcW w:w="1368" w:type="dxa"/>
          </w:tcPr>
          <w:p w14:paraId="4EEC2C86"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S131.0158</w:t>
            </w:r>
          </w:p>
        </w:tc>
        <w:tc>
          <w:tcPr>
            <w:tcW w:w="1134" w:type="dxa"/>
          </w:tcPr>
          <w:p w14:paraId="2CE40A3B"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43695705"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5038" w:type="dxa"/>
          </w:tcPr>
          <w:p w14:paraId="3B3C2FA3"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Ātiawa acknowledge the need for biodiversity offsetting and biodiversity</w:t>
            </w:r>
            <w:r w:rsidRPr="0011437E">
              <w:rPr>
                <w:rFonts w:ascii="Arial" w:hAnsi="Arial" w:cs="Arial"/>
                <w:sz w:val="18"/>
                <w:szCs w:val="18"/>
              </w:rPr>
              <w:br/>
              <w:t>compensation, Ātiawa are concerned that offsetting and compensation may</w:t>
            </w:r>
            <w:r w:rsidRPr="0011437E">
              <w:rPr>
                <w:rFonts w:ascii="Arial" w:hAnsi="Arial" w:cs="Arial"/>
                <w:sz w:val="18"/>
                <w:szCs w:val="18"/>
              </w:rPr>
              <w:br/>
              <w:t>be preferred over protecting existing biodiversity. Ātiawa maintain an</w:t>
            </w:r>
            <w:r w:rsidRPr="0011437E">
              <w:rPr>
                <w:rFonts w:ascii="Arial" w:hAnsi="Arial" w:cs="Arial"/>
                <w:sz w:val="18"/>
                <w:szCs w:val="18"/>
              </w:rPr>
              <w:br/>
              <w:t>interest in ensuring that mana whenua values, including our relationship with</w:t>
            </w:r>
            <w:r w:rsidRPr="0011437E">
              <w:rPr>
                <w:rFonts w:ascii="Arial" w:hAnsi="Arial" w:cs="Arial"/>
                <w:sz w:val="18"/>
                <w:szCs w:val="18"/>
              </w:rPr>
              <w:br/>
              <w:t>our culture, ancestral lands, water, sites, wāhi tapu and taonga (including</w:t>
            </w:r>
            <w:r w:rsidRPr="0011437E">
              <w:rPr>
                <w:rFonts w:ascii="Arial" w:hAnsi="Arial" w:cs="Arial"/>
                <w:sz w:val="18"/>
                <w:szCs w:val="18"/>
              </w:rPr>
              <w:br/>
              <w:t>taonga species) are protected from biodiversity offsetting and biodiversity</w:t>
            </w:r>
            <w:r w:rsidRPr="0011437E">
              <w:rPr>
                <w:rFonts w:ascii="Arial" w:hAnsi="Arial" w:cs="Arial"/>
                <w:sz w:val="18"/>
                <w:szCs w:val="18"/>
              </w:rPr>
              <w:br/>
              <w:t>compensation. It is important to note that not all mana whenua values can</w:t>
            </w:r>
            <w:r w:rsidRPr="0011437E">
              <w:rPr>
                <w:rFonts w:ascii="Arial" w:hAnsi="Arial" w:cs="Arial"/>
                <w:sz w:val="18"/>
                <w:szCs w:val="18"/>
              </w:rPr>
              <w:br/>
              <w:t>be replaced or replicated, therefore it is not appropriate to apply biodiversity</w:t>
            </w:r>
            <w:r w:rsidRPr="0011437E">
              <w:rPr>
                <w:rFonts w:ascii="Arial" w:hAnsi="Arial" w:cs="Arial"/>
                <w:sz w:val="18"/>
                <w:szCs w:val="18"/>
              </w:rPr>
              <w:br/>
              <w:t xml:space="preserve">offsetting or compensation where an area contains our values. </w:t>
            </w:r>
          </w:p>
        </w:tc>
        <w:tc>
          <w:tcPr>
            <w:tcW w:w="4678" w:type="dxa"/>
          </w:tcPr>
          <w:p w14:paraId="0EFC4B5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Amend to include new subclause:</w:t>
            </w:r>
            <w:r w:rsidRPr="0011437E">
              <w:rPr>
                <w:rFonts w:ascii="Arial" w:hAnsi="Arial" w:cs="Arial"/>
                <w:sz w:val="18"/>
                <w:szCs w:val="18"/>
              </w:rPr>
              <w:br/>
              <w:t xml:space="preserve">Policy 24(a) directs that where policies and/or rules in district and regional plans enable the use of biodiversity offsetting they shall not provide for biodiversity offsetting: where there is no appropriate site, knowledge, proven methods, expertise or mechanism available to design and implement an adequate biodiversity offset (clause (i)); or when an activity is anticipated to causes residual adverse effects on an area after an offset has been implemented if the ecosystem or species is threatened or the ecosystem is naturally uncommon (clause (ii)) </w:t>
            </w:r>
            <w:r>
              <w:rPr>
                <w:rFonts w:ascii="Arial" w:hAnsi="Arial" w:cs="Arial"/>
                <w:b/>
              </w:rPr>
              <w:t>or the indigenous ecosystem or habitat contains mana whenua values (including spiritual, historical or cultural significance to mana whenua).</w:t>
            </w:r>
            <w:r>
              <w:br/>
              <w:t xml:space="preserve">(Policy 24(b) directs that where policies and/or </w:t>
            </w:r>
            <w:r>
              <w:lastRenderedPageBreak/>
              <w:t>rules in district and regional plans enable the use of biodiversity compensation they shall not provide for biodiversity compensation where an activity is anticipated to cause residual adverse effects on an area if the ecosystem or species is threatened or the ecosystem is naturally uncommon</w:t>
            </w:r>
            <w:r>
              <w:rPr>
                <w:rFonts w:ascii="Arial" w:hAnsi="Arial" w:cs="Arial"/>
                <w:b/>
              </w:rPr>
              <w:t xml:space="preserve"> or, the ecosystem or habitat contains mana whenua values (including spiritual, historical or cultural significance to mana whenua).</w:t>
            </w:r>
            <w:r>
              <w:br/>
              <w:t> </w:t>
            </w:r>
          </w:p>
        </w:tc>
      </w:tr>
      <w:tr w:rsidR="00FE05D9" w:rsidRPr="0011437E" w14:paraId="48C3CC74"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70FC854B"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lastRenderedPageBreak/>
              <w:t xml:space="preserve"> S165 Royal Forest and Bird Protection Society of New Zealand Inc. (Forest &amp; Bird) </w:t>
            </w:r>
          </w:p>
        </w:tc>
        <w:tc>
          <w:tcPr>
            <w:tcW w:w="1368" w:type="dxa"/>
          </w:tcPr>
          <w:p w14:paraId="22928635"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S165.0148</w:t>
            </w:r>
          </w:p>
        </w:tc>
        <w:tc>
          <w:tcPr>
            <w:tcW w:w="1134" w:type="dxa"/>
          </w:tcPr>
          <w:p w14:paraId="5298CF6F"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4B5AA533"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5038" w:type="dxa"/>
          </w:tcPr>
          <w:p w14:paraId="6F806121"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Threat classification for species and ecosystems change over time.</w:t>
            </w:r>
          </w:p>
        </w:tc>
        <w:tc>
          <w:tcPr>
            <w:tcW w:w="4678" w:type="dxa"/>
          </w:tcPr>
          <w:p w14:paraId="2B1B1365"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The appendix is supported but amendment is sought to be clear that Appendix 1A is not fixed in time and recognises that the threat status of species and ecosystems may change over time. If this occurs the most up to date information should be used.</w:t>
            </w:r>
            <w:r w:rsidRPr="0011437E">
              <w:rPr>
                <w:rFonts w:ascii="Arial" w:hAnsi="Arial" w:cs="Arial"/>
                <w:sz w:val="18"/>
                <w:szCs w:val="18"/>
              </w:rPr>
              <w:br/>
              <w:t> </w:t>
            </w:r>
          </w:p>
        </w:tc>
      </w:tr>
      <w:tr w:rsidR="00FE05D9" w:rsidRPr="0011437E" w14:paraId="15432BA9" w14:textId="77777777" w:rsidTr="00547B54">
        <w:trPr>
          <w:trHeight w:val="459"/>
        </w:trPr>
        <w:tc>
          <w:tcPr>
            <w:cnfStyle w:val="001000000000" w:firstRow="0" w:lastRow="0" w:firstColumn="1" w:lastColumn="0" w:oddVBand="0" w:evenVBand="0" w:oddHBand="0" w:evenHBand="0" w:firstRowFirstColumn="0" w:firstRowLastColumn="0" w:lastRowFirstColumn="0" w:lastRowLastColumn="0"/>
            <w:tcW w:w="1184" w:type="dxa"/>
          </w:tcPr>
          <w:p w14:paraId="1A8751EA" w14:textId="77777777" w:rsidR="00FE05D9" w:rsidRPr="0011437E" w:rsidRDefault="00FE05D9" w:rsidP="00ED7B02">
            <w:pPr>
              <w:rPr>
                <w:rFonts w:ascii="Arial" w:hAnsi="Arial" w:cs="Arial"/>
                <w:sz w:val="18"/>
                <w:szCs w:val="18"/>
                <w:lang w:val="en-NZ"/>
              </w:rPr>
            </w:pPr>
            <w:r w:rsidRPr="0011437E">
              <w:rPr>
                <w:rFonts w:ascii="Arial" w:hAnsi="Arial" w:cs="Arial"/>
                <w:sz w:val="18"/>
                <w:szCs w:val="18"/>
              </w:rPr>
              <w:t xml:space="preserve"> S167 Taranaki Whānui </w:t>
            </w:r>
          </w:p>
        </w:tc>
        <w:tc>
          <w:tcPr>
            <w:tcW w:w="1368" w:type="dxa"/>
          </w:tcPr>
          <w:p w14:paraId="545E345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S167.0192</w:t>
            </w:r>
          </w:p>
        </w:tc>
        <w:tc>
          <w:tcPr>
            <w:tcW w:w="1134" w:type="dxa"/>
          </w:tcPr>
          <w:p w14:paraId="2934FABB"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1437E">
              <w:rPr>
                <w:rFonts w:ascii="Arial" w:hAnsi="Arial" w:cs="Arial"/>
                <w:sz w:val="18"/>
                <w:szCs w:val="18"/>
              </w:rPr>
              <w:t>Appendix 1A: Limits to biodiversity offsetting and biodiversity compensation</w:t>
            </w:r>
          </w:p>
        </w:tc>
        <w:tc>
          <w:tcPr>
            <w:tcW w:w="915" w:type="dxa"/>
          </w:tcPr>
          <w:p w14:paraId="708390F4"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Support in part</w:t>
            </w:r>
          </w:p>
        </w:tc>
        <w:tc>
          <w:tcPr>
            <w:tcW w:w="5038" w:type="dxa"/>
          </w:tcPr>
          <w:p w14:paraId="025CC340"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Taranaki Whānui are keen to understand the method used for compiling and rating/grading the list in Appendix 1A.</w:t>
            </w:r>
            <w:r w:rsidRPr="0011437E">
              <w:rPr>
                <w:rFonts w:ascii="Arial" w:hAnsi="Arial" w:cs="Arial"/>
                <w:sz w:val="18"/>
                <w:szCs w:val="18"/>
              </w:rPr>
              <w:br/>
            </w:r>
            <w:r w:rsidRPr="0011437E">
              <w:rPr>
                <w:rFonts w:ascii="Arial" w:hAnsi="Arial" w:cs="Arial"/>
                <w:sz w:val="18"/>
                <w:szCs w:val="18"/>
              </w:rPr>
              <w:br/>
              <w:t>What input has come from mana whenua?</w:t>
            </w:r>
            <w:r w:rsidRPr="0011437E">
              <w:rPr>
                <w:rFonts w:ascii="Arial" w:hAnsi="Arial" w:cs="Arial"/>
                <w:sz w:val="18"/>
                <w:szCs w:val="18"/>
              </w:rPr>
              <w:br/>
            </w:r>
            <w:r w:rsidRPr="0011437E">
              <w:rPr>
                <w:rFonts w:ascii="Arial" w:hAnsi="Arial" w:cs="Arial"/>
                <w:sz w:val="18"/>
                <w:szCs w:val="18"/>
              </w:rPr>
              <w:br/>
              <w:t>Taranaki Whānui feel strongly that this list needs to be developed in partnership with mana whenua and to include mātauranga Māori. Due to the significance of the list and what it protects, mana whenua should also partner in the management/regulating and monitoring of the implementation of Policy 24.</w:t>
            </w:r>
          </w:p>
        </w:tc>
        <w:tc>
          <w:tcPr>
            <w:tcW w:w="4678" w:type="dxa"/>
          </w:tcPr>
          <w:p w14:paraId="3BBB233A" w14:textId="77777777" w:rsidR="00FE05D9" w:rsidRPr="0011437E" w:rsidRDefault="00FE05D9" w:rsidP="00ED7B0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NZ"/>
              </w:rPr>
            </w:pPr>
            <w:r w:rsidRPr="0011437E">
              <w:rPr>
                <w:rFonts w:ascii="Arial" w:hAnsi="Arial" w:cs="Arial"/>
                <w:sz w:val="18"/>
                <w:szCs w:val="18"/>
              </w:rPr>
              <w:t xml:space="preserve">Amend this provision to address the relief sought. </w:t>
            </w:r>
            <w:r>
              <w:rPr>
                <w:rFonts w:ascii="Arial" w:hAnsi="Arial" w:cs="Arial"/>
                <w:b/>
              </w:rPr>
              <w:t>[Note.: This submission point refers back to S167.088 in relation to Policy 24]</w:t>
            </w:r>
            <w:r>
              <w:br/>
              <w:t> </w:t>
            </w:r>
          </w:p>
        </w:tc>
      </w:tr>
    </w:tbl>
    <w:p w14:paraId="27D346FF" w14:textId="05E8042E" w:rsidR="00FD3529" w:rsidRDefault="00FD3529" w:rsidP="0011437E">
      <w:pPr>
        <w:rPr>
          <w:lang w:val="en-NZ"/>
        </w:rPr>
      </w:pPr>
    </w:p>
    <w:p w14:paraId="30F4FABB" w14:textId="77777777" w:rsidR="00FD3529" w:rsidRPr="000153F4" w:rsidRDefault="00FD3529" w:rsidP="0011437E">
      <w:pPr>
        <w:rPr>
          <w:lang w:val="en-NZ"/>
        </w:rPr>
      </w:pPr>
    </w:p>
    <w:sectPr w:rsidR="00FD3529" w:rsidRPr="000153F4" w:rsidSect="0011437E">
      <w:headerReference w:type="default" r:id="rId12"/>
      <w:footerReference w:type="default" r:id="rId13"/>
      <w:pgSz w:w="15840" w:h="12240" w:orient="landscape"/>
      <w:pgMar w:top="1440" w:right="792" w:bottom="1440" w:left="7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281" w14:textId="77777777" w:rsidR="00B94216" w:rsidRDefault="00B94216" w:rsidP="00B950E8">
      <w:pPr>
        <w:spacing w:after="0" w:line="240" w:lineRule="auto"/>
      </w:pPr>
      <w:r>
        <w:separator/>
      </w:r>
    </w:p>
  </w:endnote>
  <w:endnote w:type="continuationSeparator" w:id="0">
    <w:p w14:paraId="737CCF97" w14:textId="77777777" w:rsidR="00B94216" w:rsidRDefault="00B94216" w:rsidP="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268520"/>
      <w:docPartObj>
        <w:docPartGallery w:val="Page Numbers (Bottom of Page)"/>
        <w:docPartUnique/>
      </w:docPartObj>
    </w:sdtPr>
    <w:sdtEndPr/>
    <w:sdtContent>
      <w:sdt>
        <w:sdtPr>
          <w:id w:val="1728636285"/>
          <w:docPartObj>
            <w:docPartGallery w:val="Page Numbers (Top of Page)"/>
            <w:docPartUnique/>
          </w:docPartObj>
        </w:sdtPr>
        <w:sdtEndPr/>
        <w:sdtContent>
          <w:p w14:paraId="6843BB75" w14:textId="5EB802ED" w:rsidR="00FE05D9" w:rsidRDefault="00FE05D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D5BCCE" w14:textId="450FC029" w:rsidR="006C24E0" w:rsidRDefault="006C2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90FB" w14:textId="77777777" w:rsidR="00B94216" w:rsidRDefault="00B94216" w:rsidP="00B950E8">
      <w:pPr>
        <w:spacing w:after="0" w:line="240" w:lineRule="auto"/>
      </w:pPr>
      <w:r>
        <w:separator/>
      </w:r>
    </w:p>
  </w:footnote>
  <w:footnote w:type="continuationSeparator" w:id="0">
    <w:p w14:paraId="674F4981" w14:textId="77777777" w:rsidR="00B94216" w:rsidRDefault="00B94216" w:rsidP="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F351" w14:textId="5E8AFB1A" w:rsidR="00B8487B" w:rsidRDefault="00B8487B">
    <w:pPr>
      <w:pStyle w:val="Header"/>
    </w:pPr>
    <w:r>
      <w:t xml:space="preserve">SUBMISSION POINTS BY </w:t>
    </w:r>
    <w:r w:rsidR="00FB6DDF">
      <w:t xml:space="preserve">PLAN CHAPTER – </w:t>
    </w:r>
    <w:r w:rsidR="00FE05D9" w:rsidRPr="0011437E">
      <w:rPr>
        <w:rFonts w:ascii="Arial" w:hAnsi="Arial" w:cs="Arial"/>
        <w:sz w:val="18"/>
        <w:szCs w:val="18"/>
      </w:rPr>
      <w:t>Appendix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3619"/>
    <w:multiLevelType w:val="multilevel"/>
    <w:tmpl w:val="576E92C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ascii="Calibri Light" w:hAnsi="Calibri Light" w:hint="default"/>
        <w:color w:val="477D86"/>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9524B57"/>
    <w:multiLevelType w:val="multilevel"/>
    <w:tmpl w:val="136A3FE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F04567"/>
    <w:multiLevelType w:val="hybridMultilevel"/>
    <w:tmpl w:val="47087C28"/>
    <w:lvl w:ilvl="0" w:tplc="3042B7F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15:restartNumberingAfterBreak="0">
    <w:nsid w:val="55654B57"/>
    <w:multiLevelType w:val="hybridMultilevel"/>
    <w:tmpl w:val="922C42C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615B1A48"/>
    <w:multiLevelType w:val="multilevel"/>
    <w:tmpl w:val="4AF87B6E"/>
    <w:styleLink w:val="SageHeading1"/>
    <w:lvl w:ilvl="0">
      <w:start w:val="1"/>
      <w:numFmt w:val="decimal"/>
      <w:lvlText w:val="%1.0"/>
      <w:lvlJc w:val="left"/>
      <w:pPr>
        <w:ind w:left="360" w:hanging="360"/>
      </w:pPr>
      <w:rPr>
        <w:rFonts w:ascii="Calibri Light" w:hAnsi="Calibri Light" w:hint="default"/>
        <w:color w:val="40492D"/>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6A620A6"/>
    <w:multiLevelType w:val="multilevel"/>
    <w:tmpl w:val="27CABA1C"/>
    <w:name w:val="Opus Heading Numbering"/>
    <w:lvl w:ilvl="0">
      <w:start w:val="1"/>
      <w:numFmt w:val="decimal"/>
      <w:lvlText w:val="%1.0"/>
      <w:lvlJc w:val="left"/>
      <w:pPr>
        <w:tabs>
          <w:tab w:val="num" w:pos="709"/>
        </w:tabs>
        <w:ind w:left="709" w:hanging="709"/>
      </w:pPr>
      <w:rPr>
        <w:rFonts w:hint="default"/>
      </w:rPr>
    </w:lvl>
    <w:lvl w:ilvl="1">
      <w:start w:val="1"/>
      <w:numFmt w:val="decimal"/>
      <w:lvlText w:val="%1.%2"/>
      <w:lvlJc w:val="left"/>
      <w:pPr>
        <w:tabs>
          <w:tab w:val="num" w:pos="709"/>
        </w:tabs>
        <w:ind w:left="709" w:hanging="709"/>
      </w:pPr>
      <w:rPr>
        <w:color w:val="D22630"/>
      </w:r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lvlOverride w:ilvl="0">
      <w:lvl w:ilvl="0">
        <w:start w:val="1"/>
        <w:numFmt w:val="decimal"/>
        <w:lvlText w:val="2.%1"/>
        <w:lvlJc w:val="left"/>
        <w:pPr>
          <w:ind w:left="360" w:hanging="360"/>
        </w:pPr>
        <w:rPr>
          <w:rFonts w:hint="default"/>
          <w:color w:val="525252" w:themeColor="accent3" w:themeShade="8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4"/>
  </w:num>
  <w:num w:numId="3">
    <w:abstractNumId w:val="1"/>
  </w:num>
  <w:num w:numId="4">
    <w:abstractNumId w:val="0"/>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4"/>
    <w:rsid w:val="000153F4"/>
    <w:rsid w:val="00020792"/>
    <w:rsid w:val="00035DDF"/>
    <w:rsid w:val="00110AAC"/>
    <w:rsid w:val="0011437E"/>
    <w:rsid w:val="00176C2A"/>
    <w:rsid w:val="001E15A8"/>
    <w:rsid w:val="001F06D4"/>
    <w:rsid w:val="00235F42"/>
    <w:rsid w:val="002C4208"/>
    <w:rsid w:val="002D30FF"/>
    <w:rsid w:val="002E555A"/>
    <w:rsid w:val="00377853"/>
    <w:rsid w:val="003B0B4A"/>
    <w:rsid w:val="003D35B9"/>
    <w:rsid w:val="004154E5"/>
    <w:rsid w:val="00456D58"/>
    <w:rsid w:val="004643B2"/>
    <w:rsid w:val="004F6CD3"/>
    <w:rsid w:val="00547B54"/>
    <w:rsid w:val="00567A56"/>
    <w:rsid w:val="00641F69"/>
    <w:rsid w:val="006C24E0"/>
    <w:rsid w:val="006C7B5B"/>
    <w:rsid w:val="00745170"/>
    <w:rsid w:val="00924C04"/>
    <w:rsid w:val="00995C56"/>
    <w:rsid w:val="00A8331D"/>
    <w:rsid w:val="00AD3E71"/>
    <w:rsid w:val="00B8487B"/>
    <w:rsid w:val="00B94216"/>
    <w:rsid w:val="00B950E8"/>
    <w:rsid w:val="00BD11DE"/>
    <w:rsid w:val="00BF01E9"/>
    <w:rsid w:val="00C0107B"/>
    <w:rsid w:val="00C50684"/>
    <w:rsid w:val="00C6550E"/>
    <w:rsid w:val="00CC4162"/>
    <w:rsid w:val="00CF3F5A"/>
    <w:rsid w:val="00D44FC0"/>
    <w:rsid w:val="00D63583"/>
    <w:rsid w:val="00D94FB1"/>
    <w:rsid w:val="00DA0BD9"/>
    <w:rsid w:val="00DB335A"/>
    <w:rsid w:val="00E118DB"/>
    <w:rsid w:val="00E63586"/>
    <w:rsid w:val="00E912F5"/>
    <w:rsid w:val="00EE4945"/>
    <w:rsid w:val="00F90A46"/>
    <w:rsid w:val="00FB6DDF"/>
    <w:rsid w:val="00FD3529"/>
    <w:rsid w:val="00FE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FEC48"/>
  <w15:chartTrackingRefBased/>
  <w15:docId w15:val="{DC5046B6-6EE7-45DE-81A9-38654D7F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7B"/>
  </w:style>
  <w:style w:type="paragraph" w:styleId="Heading1">
    <w:name w:val="heading 1"/>
    <w:basedOn w:val="Normal"/>
    <w:next w:val="Heading2"/>
    <w:link w:val="Heading1Char"/>
    <w:uiPriority w:val="9"/>
    <w:qFormat/>
    <w:rsid w:val="00235F42"/>
    <w:pPr>
      <w:keepNext/>
      <w:keepLines/>
      <w:numPr>
        <w:numId w:val="3"/>
      </w:numPr>
      <w:tabs>
        <w:tab w:val="clear" w:pos="720"/>
      </w:tabs>
      <w:spacing w:before="240" w:after="0"/>
      <w:outlineLvl w:val="0"/>
    </w:pPr>
    <w:rPr>
      <w:rFonts w:ascii="Calibri Light" w:eastAsiaTheme="majorEastAsia" w:hAnsi="Calibri Light" w:cstheme="majorBidi"/>
      <w:color w:val="3F482C"/>
      <w:sz w:val="36"/>
      <w:szCs w:val="32"/>
    </w:rPr>
  </w:style>
  <w:style w:type="paragraph" w:styleId="Heading2">
    <w:name w:val="heading 2"/>
    <w:basedOn w:val="Normal"/>
    <w:next w:val="Normal"/>
    <w:link w:val="Heading2Char"/>
    <w:uiPriority w:val="9"/>
    <w:semiHidden/>
    <w:unhideWhenUsed/>
    <w:qFormat/>
    <w:rsid w:val="00235F42"/>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F42"/>
    <w:rPr>
      <w:rFonts w:ascii="Calibri Light" w:eastAsiaTheme="majorEastAsia" w:hAnsi="Calibri Light" w:cstheme="majorBidi"/>
      <w:color w:val="3F482C"/>
      <w:sz w:val="36"/>
      <w:szCs w:val="32"/>
    </w:rPr>
  </w:style>
  <w:style w:type="character" w:customStyle="1" w:styleId="Heading2Char">
    <w:name w:val="Heading 2 Char"/>
    <w:basedOn w:val="DefaultParagraphFont"/>
    <w:link w:val="Heading2"/>
    <w:uiPriority w:val="9"/>
    <w:semiHidden/>
    <w:rsid w:val="00110AAC"/>
    <w:rPr>
      <w:rFonts w:asciiTheme="majorHAnsi" w:eastAsiaTheme="majorEastAsia" w:hAnsiTheme="majorHAnsi" w:cstheme="majorBidi"/>
      <w:color w:val="2F5496" w:themeColor="accent1" w:themeShade="BF"/>
      <w:sz w:val="26"/>
      <w:szCs w:val="26"/>
    </w:rPr>
  </w:style>
  <w:style w:type="numbering" w:customStyle="1" w:styleId="SageHeading1">
    <w:name w:val="Sage Heading 1"/>
    <w:uiPriority w:val="99"/>
    <w:rsid w:val="00110AAC"/>
    <w:pPr>
      <w:numPr>
        <w:numId w:val="2"/>
      </w:numPr>
    </w:pPr>
  </w:style>
  <w:style w:type="paragraph" w:customStyle="1" w:styleId="BodyText1">
    <w:name w:val="Body Text 1"/>
    <w:basedOn w:val="BodyText"/>
    <w:link w:val="BodyText1Char"/>
    <w:autoRedefine/>
    <w:qFormat/>
    <w:rsid w:val="00CF3F5A"/>
    <w:pPr>
      <w:spacing w:before="40"/>
      <w:ind w:left="720"/>
    </w:pPr>
    <w:rPr>
      <w:rFonts w:asciiTheme="majorHAnsi" w:eastAsia="Times New Roman" w:hAnsiTheme="majorHAnsi" w:cstheme="majorHAnsi"/>
      <w:color w:val="000000" w:themeColor="text1"/>
      <w:spacing w:val="-4"/>
      <w:szCs w:val="24"/>
      <w:lang w:val="en-NZ"/>
    </w:rPr>
  </w:style>
  <w:style w:type="character" w:customStyle="1" w:styleId="BodyText1Char">
    <w:name w:val="Body Text 1 Char"/>
    <w:link w:val="BodyText1"/>
    <w:rsid w:val="00CF3F5A"/>
    <w:rPr>
      <w:rFonts w:asciiTheme="majorHAnsi" w:eastAsia="Times New Roman" w:hAnsiTheme="majorHAnsi" w:cstheme="majorHAnsi"/>
      <w:color w:val="000000" w:themeColor="text1"/>
      <w:spacing w:val="-4"/>
      <w:szCs w:val="24"/>
      <w:lang w:val="en-NZ"/>
    </w:rPr>
  </w:style>
  <w:style w:type="paragraph" w:styleId="BodyText">
    <w:name w:val="Body Text"/>
    <w:basedOn w:val="Normal"/>
    <w:link w:val="BodyTextChar"/>
    <w:uiPriority w:val="99"/>
    <w:semiHidden/>
    <w:unhideWhenUsed/>
    <w:rsid w:val="00CF3F5A"/>
    <w:pPr>
      <w:spacing w:after="120"/>
    </w:pPr>
  </w:style>
  <w:style w:type="character" w:customStyle="1" w:styleId="BodyTextChar">
    <w:name w:val="Body Text Char"/>
    <w:basedOn w:val="DefaultParagraphFont"/>
    <w:link w:val="BodyText"/>
    <w:uiPriority w:val="99"/>
    <w:semiHidden/>
    <w:rsid w:val="00CF3F5A"/>
  </w:style>
  <w:style w:type="paragraph" w:customStyle="1" w:styleId="BodyText21">
    <w:name w:val="Body Text 21"/>
    <w:basedOn w:val="BodyText2"/>
    <w:link w:val="Bodytext2Char"/>
    <w:autoRedefine/>
    <w:qFormat/>
    <w:rsid w:val="00CF3F5A"/>
    <w:pPr>
      <w:spacing w:before="40" w:line="259" w:lineRule="auto"/>
      <w:ind w:left="1440"/>
      <w:jc w:val="both"/>
    </w:pPr>
    <w:rPr>
      <w:rFonts w:ascii="Calibri Light" w:hAnsi="Calibri Light"/>
    </w:rPr>
  </w:style>
  <w:style w:type="character" w:customStyle="1" w:styleId="Bodytext2Char">
    <w:name w:val="Body text 2 Char"/>
    <w:basedOn w:val="BodyText2Char0"/>
    <w:link w:val="BodyText21"/>
    <w:rsid w:val="00CF3F5A"/>
    <w:rPr>
      <w:rFonts w:ascii="Calibri Light" w:hAnsi="Calibri Light"/>
    </w:rPr>
  </w:style>
  <w:style w:type="paragraph" w:styleId="BodyText2">
    <w:name w:val="Body Text 2"/>
    <w:basedOn w:val="Normal"/>
    <w:link w:val="BodyText2Char0"/>
    <w:uiPriority w:val="99"/>
    <w:semiHidden/>
    <w:unhideWhenUsed/>
    <w:rsid w:val="00CF3F5A"/>
    <w:pPr>
      <w:spacing w:after="120" w:line="480" w:lineRule="auto"/>
    </w:pPr>
  </w:style>
  <w:style w:type="character" w:customStyle="1" w:styleId="BodyText2Char0">
    <w:name w:val="Body Text 2 Char"/>
    <w:basedOn w:val="DefaultParagraphFont"/>
    <w:link w:val="BodyText2"/>
    <w:uiPriority w:val="99"/>
    <w:semiHidden/>
    <w:rsid w:val="00CF3F5A"/>
  </w:style>
  <w:style w:type="table" w:styleId="TableGrid">
    <w:name w:val="Table Grid"/>
    <w:basedOn w:val="TableNormal"/>
    <w:uiPriority w:val="39"/>
    <w:rsid w:val="00015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2E555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95C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9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0E8"/>
  </w:style>
  <w:style w:type="paragraph" w:styleId="Footer">
    <w:name w:val="footer"/>
    <w:basedOn w:val="Normal"/>
    <w:link w:val="FooterChar"/>
    <w:uiPriority w:val="99"/>
    <w:unhideWhenUsed/>
    <w:rsid w:val="00B9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ItemAdding</Name>
    <Synchronization>Default</Synchronization>
    <Type>1</Type>
    <SequenceNumber>3</SequenceNumber>
    <Url/>
    <Assembly>ILDS.Template.RecordsEventHandler, Version=2010.1.0.0, Culture=neutral, PublicKeyToken=f456434fdd6e6bdd</Assembly>
    <Class>ILDS.Template.RecordsEventHandler.ItemEventReceiver</Class>
    <Data/>
    <Filter/>
  </Receiver>
  <Receiver>
    <Name>ItemUpdating</Name>
    <Synchronization>Default</Synchronization>
    <Type>2</Type>
    <SequenceNumber>3</SequenceNumber>
    <Url/>
    <Assembly>ILDS.Template.RecordsEventHandler, Version=2010.1.0.0, Culture=neutral, PublicKeyToken=f456434fdd6e6bdd</Assembly>
    <Class>ILDS.Template.RecordsEventHandler.ItemEventReceiver</Class>
    <Data/>
    <Filter/>
  </Receiver>
  <Receiver>
    <Name>ItemUpdated</Name>
    <Synchronization>Default</Synchronization>
    <Type>10002</Type>
    <SequenceNumber>3</SequenceNumber>
    <Url/>
    <Assembly>ILDS.Template.RecordsEventHandler, Version=2010.1.0.0, Culture=neutral, PublicKeyToken=f456434fdd6e6bdd</Assembly>
    <Class>ILDS.Template.RecordsEventHandler.ItemEventReceiver</Class>
    <Data/>
    <Filter/>
  </Receiver>
  <Receiver>
    <Name>ItemAdded</Name>
    <Synchronization>Default</Synchronization>
    <Type>10001</Type>
    <SequenceNumber>3</SequenceNumber>
    <Url/>
    <Assembly>ILDS.Template.RecordsEventHandler, Version=2010.1.0.0, Culture=neutral, PublicKeyToken=f456434fdd6e6bdd</Assembly>
    <Class>ILDS.Template.RecordsEventHandler.ItemEventReceiver</Class>
    <Data/>
    <Filter/>
  </Receiver>
  <Receiver>
    <Name>ItemDeleting</Name>
    <Synchronization>Default</Synchronization>
    <Type>3</Type>
    <SequenceNumber>3</SequenceNumber>
    <Url/>
    <Assembly>ILDS.Template.RecordsEventHandler, Version=2010.1.0.0, Culture=neutral, PublicKeyToken=f456434fdd6e6bdd</Assembly>
    <Class>ILDS.Template.RecordsEventHandler.ItemEventReceiver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ocument" ma:contentTypeID="0x010100AAAAAAAAAAAAAAAAAAAAAAAAAAAAAA02006AA1A29506589D4EA9F25C1EB0CE036A" ma:contentTypeVersion="20" ma:contentTypeDescription="Standard Electronic Document" ma:contentTypeScope="" ma:versionID="c368ab1bb848b2a535801eac8be203ca">
  <xsd:schema xmlns:xsd="http://www.w3.org/2001/XMLSchema" xmlns:xs="http://www.w3.org/2001/XMLSchema" xmlns:p="http://schemas.microsoft.com/office/2006/metadata/properties" xmlns:ns2="a476884f-b6e6-4d6d-bed2-5e9c1d8da3ce" xmlns:ns3="e6476298-2e29-4370-97b5-3b69827fb5e9" xmlns:ns4="e21cbe00-2104-4159-b9b9-bd54555d1bf2" xmlns:ns5="ce72f94b-53e5-49f5-adb9-3c093685bfe9" xmlns:ns6="902df3e6-6458-4633-8dce-1160d9178ee3" targetNamespace="http://schemas.microsoft.com/office/2006/metadata/properties" ma:root="true" ma:fieldsID="321de191b041c2d641964b9b5e8e7e95" ns2:_="" ns3:_="" ns4:_="" ns5:_="" ns6:_="">
    <xsd:import namespace="a476884f-b6e6-4d6d-bed2-5e9c1d8da3ce"/>
    <xsd:import namespace="e6476298-2e29-4370-97b5-3b69827fb5e9"/>
    <xsd:import namespace="e21cbe00-2104-4159-b9b9-bd54555d1bf2"/>
    <xsd:import namespace="ce72f94b-53e5-49f5-adb9-3c093685bfe9"/>
    <xsd:import namespace="902df3e6-6458-4633-8dce-1160d9178ee3"/>
    <xsd:element name="properties">
      <xsd:complexType>
        <xsd:sequence>
          <xsd:element name="documentManagement">
            <xsd:complexType>
              <xsd:all>
                <xsd:element ref="ns2:Target_Audience" minOccurs="0"/>
                <xsd:element ref="ns2:RecordID" minOccurs="0"/>
                <xsd:element ref="ns2:Original_Document" minOccurs="0"/>
                <xsd:element ref="ns3:_dlc_DocId" minOccurs="0"/>
                <xsd:element ref="ns3:_dlc_DocIdUrl" minOccurs="0"/>
                <xsd:element ref="ns3:_dlc_DocIdPersistId" minOccurs="0"/>
                <xsd:element ref="ns4:DocumentType"/>
                <xsd:element ref="ns4:Subactivity" minOccurs="0"/>
                <xsd:element ref="ns2:Narrative" minOccurs="0"/>
                <xsd:element ref="ns2:Aggregation_Status" minOccurs="0"/>
                <xsd:element ref="ns2:Read_Only_Status" minOccurs="0"/>
                <xsd:element ref="ns2:Authoritative_Version" minOccurs="0"/>
                <xsd:element ref="ns2:PRA_Text_1"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Related_People" minOccurs="0"/>
                <xsd:element ref="ns2:Record_Type" minOccurs="0"/>
                <xsd:element ref="ns2:Know-How_Type" minOccurs="0"/>
                <xsd:element ref="ns2:PRA_Type" minOccurs="0"/>
                <xsd:element ref="ns4:FunctionGroup" minOccurs="0"/>
                <xsd:element ref="ns4:Function" minOccurs="0"/>
                <xsd:element ref="ns4:Activity" minOccurs="0"/>
                <xsd:element ref="ns4:Key_x0020_Words" minOccurs="0"/>
                <xsd:element ref="ns4:Project" minOccurs="0"/>
                <xsd:element ref="ns4:Case" minOccurs="0"/>
                <xsd:element ref="ns4:CategoryName" minOccurs="0"/>
                <xsd:element ref="ns4:CategoryValue" minOccurs="0"/>
                <xsd:element ref="ns4:Volume" minOccurs="0"/>
                <xsd:element ref="ns5:eDocsDocNumber" minOccurs="0"/>
                <xsd:element ref="ns6:GWappI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884f-b6e6-4d6d-bed2-5e9c1d8da3ce" elementFormDefault="qualified">
    <xsd:import namespace="http://schemas.microsoft.com/office/2006/documentManagement/types"/>
    <xsd:import namespace="http://schemas.microsoft.com/office/infopath/2007/PartnerControls"/>
    <xsd:element name="Target_Audience" ma:index="7" nillable="true" ma:displayName="Target Audience" ma:default="Internal" ma:format="RadioButtons" ma:hidden="true" ma:internalName="TargetAudience">
      <xsd:simpleType>
        <xsd:restriction base="dms:Choice">
          <xsd:enumeration value="Internal"/>
          <xsd:enumeration value="External"/>
        </xsd:restriction>
      </xsd:simpleType>
    </xsd:element>
    <xsd:element name="RecordID" ma:index="8" nillable="true" ma:displayName="RecordID" ma:hidden="true" ma:internalName="RecordID" ma:readOnly="true">
      <xsd:simpleType>
        <xsd:restriction base="dms:Text"/>
      </xsd:simpleType>
    </xsd:element>
    <xsd:element name="Original_Document" ma:index="9" nillable="true" ma:displayName="Original Document" ma:hidden="true" ma:internalName="OriginalDocument">
      <xsd:simpleType>
        <xsd:restriction base="dms:Text"/>
      </xsd:simpleType>
    </xsd:element>
    <xsd:element name="Narrative" ma:index="16" nillable="true" ma:displayName="Narrative" ma:internalName="Narrative" ma:readOnly="false">
      <xsd:simpleType>
        <xsd:restriction base="dms:Note">
          <xsd:maxLength value="255"/>
        </xsd:restriction>
      </xsd:simpleType>
    </xsd:element>
    <xsd:element name="Aggregation_Status" ma:index="17" nillable="true" ma:displayName="Aggregation Status" ma:default="Normal"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ad_Only_Status" ma:index="18"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Authoritative_Version" ma:index="19" nillable="true" ma:displayName="Authoritative Version" ma:default="0" ma:hidden="true" ma:internalName="AuthoritativeVersion" ma:readOnly="false">
      <xsd:simpleType>
        <xsd:restriction base="dms:Boolean"/>
      </xsd:simpleType>
    </xsd:element>
    <xsd:element name="PRA_Text_1" ma:index="20" nillable="true" ma:displayName="PRA Text 1" ma:hidden="true" ma:internalName="PraText1" ma:readOnly="false">
      <xsd:simpleType>
        <xsd:restriction base="dms:Text"/>
      </xsd:simpleType>
    </xsd:element>
    <xsd:element name="PRA_Text_2" ma:index="21" nillable="true" ma:displayName="PRA Text 2" ma:hidden="true" ma:internalName="PraText2" ma:readOnly="false">
      <xsd:simpleType>
        <xsd:restriction base="dms:Text"/>
      </xsd:simpleType>
    </xsd:element>
    <xsd:element name="PRA_Text_3" ma:index="22" nillable="true" ma:displayName="PRA Text 3" ma:hidden="true" ma:internalName="PraText3" ma:readOnly="false">
      <xsd:simpleType>
        <xsd:restriction base="dms:Text"/>
      </xsd:simpleType>
    </xsd:element>
    <xsd:element name="PRA_Text_4" ma:index="23" nillable="true" ma:displayName="PRA Text 4" ma:hidden="true" ma:internalName="PraText4" ma:readOnly="false">
      <xsd:simpleType>
        <xsd:restriction base="dms:Text"/>
      </xsd:simpleType>
    </xsd:element>
    <xsd:element name="PRA_Text_5" ma:index="24" nillable="true" ma:displayName="PRA Text 5" ma:hidden="true" ma:internalName="PraText5" ma:readOnly="false">
      <xsd:simpleType>
        <xsd:restriction base="dms:Text"/>
      </xsd:simpleType>
    </xsd:element>
    <xsd:element name="PRA_Date_1" ma:index="25" nillable="true" ma:displayName="PRA Date 1" ma:format="DateTime" ma:hidden="true" ma:internalName="PraDate1" ma:readOnly="false">
      <xsd:simpleType>
        <xsd:restriction base="dms:DateTime"/>
      </xsd:simpleType>
    </xsd:element>
    <xsd:element name="PRA_Date_2" ma:index="26" nillable="true" ma:displayName="PRA Date 2" ma:format="DateTime" ma:hidden="true" ma:internalName="PraDate2" ma:readOnly="false">
      <xsd:simpleType>
        <xsd:restriction base="dms:DateTime"/>
      </xsd:simpleType>
    </xsd:element>
    <xsd:element name="PRA_Date_3" ma:index="27" nillable="true" ma:displayName="PRA Date 3" ma:format="DateTime" ma:hidden="true" ma:internalName="PraDate3" ma:readOnly="false">
      <xsd:simpleType>
        <xsd:restriction base="dms:DateTime"/>
      </xsd:simpleType>
    </xsd:element>
    <xsd:element name="PRA_Date_Trigger" ma:index="28" nillable="true" ma:displayName="PRA Date Trigger" ma:format="DateTime" ma:hidden="true" ma:internalName="PraDateTrigger" ma:readOnly="false">
      <xsd:simpleType>
        <xsd:restriction base="dms:DateTime"/>
      </xsd:simpleType>
    </xsd:element>
    <xsd:element name="PRA_Date_Disposal" ma:index="29" nillable="true" ma:displayName="PRA Date Disposal" ma:format="DateTime" ma:hidden="true" ma:internalName="PraDateDisposal" ma:readOnly="false">
      <xsd:simpleType>
        <xsd:restriction base="dms:DateTime"/>
      </xsd:simpleType>
    </xsd:element>
    <xsd:element name="Related_People" ma:index="30"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_Type" ma:index="31"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Know-How_Type" ma:index="32"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element name="PRA_Type" ma:index="33" nillable="true" ma:displayName="PRA Type" ma:default="Doc" ma:hidden="true" ma:internalName="PRA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76298-2e29-4370-97b5-3b69827fb5e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14" ma:displayName="Document Type" ma:format="Dropdown" ma:internalName="DocumentType" ma:readOnly="false">
      <xsd:simpleType>
        <xsd:restriction base="dms:Choice">
          <xsd:enumeration value="Consents"/>
          <xsd:enumeration value="Contract"/>
          <xsd:enumeration value="Correspondence"/>
          <xsd:enumeration value="Data or register"/>
          <xsd:enumeration value="Drawing"/>
          <xsd:enumeration value="File note"/>
          <xsd:enumeration value="Financial"/>
          <xsd:enumeration value="Legal"/>
          <xsd:enumeration value="Meeting document"/>
          <xsd:enumeration value="Multi media"/>
          <xsd:enumeration value="Planning"/>
          <xsd:enumeration value="Policy or Procedure"/>
          <xsd:enumeration value="Presentation"/>
          <xsd:enumeration value="Project"/>
          <xsd:enumeration value="Publication"/>
          <xsd:enumeration value="Reference material"/>
          <xsd:enumeration value="Report"/>
          <xsd:enumeration value="Submissions"/>
          <xsd:enumeration value="Template"/>
        </xsd:restriction>
      </xsd:simpleType>
    </xsd:element>
    <xsd:element name="Subactivity" ma:index="15" nillable="true" ma:displayName="Workstream" ma:format="Dropdown" ma:internalName="Subactivity">
      <xsd:simpleType>
        <xsd:restriction base="dms:Choice">
          <xsd:enumeration value="Communication"/>
          <xsd:enumeration value="Original Submissions"/>
          <xsd:enumeration value="Submission Summary"/>
          <xsd:enumeration value="Database Management"/>
          <xsd:enumeration value="Issues and Analysis"/>
        </xsd:restriction>
      </xsd:simpleType>
    </xsd:element>
    <xsd:element name="FunctionGroup" ma:index="34" nillable="true" ma:displayName="Function Group" ma:default="Environment Management" ma:format="RadioButtons" ma:hidden="true" ma:internalName="FunctionGroup" ma:readOnly="false">
      <xsd:simpleType>
        <xsd:union memberTypes="dms:Text">
          <xsd:simpleType>
            <xsd:restriction base="dms:Choice">
              <xsd:enumeration value="Environment Management"/>
            </xsd:restriction>
          </xsd:simpleType>
        </xsd:union>
      </xsd:simpleType>
    </xsd:element>
    <xsd:element name="Function" ma:index="35" nillable="true" ma:displayName="Function" ma:default="Regional Policy Statement - Plan Change" ma:format="RadioButtons" ma:hidden="true" ma:internalName="Function" ma:readOnly="false">
      <xsd:simpleType>
        <xsd:union memberTypes="dms:Text">
          <xsd:simpleType>
            <xsd:restriction base="dms:Choice">
              <xsd:enumeration value="Regional Policy Statement - Plan Change"/>
            </xsd:restriction>
          </xsd:simpleType>
        </xsd:union>
      </xsd:simpleType>
    </xsd:element>
    <xsd:element name="Activity" ma:index="36" nillable="true" ma:displayName="Activity" ma:default="Submissions" ma:format="RadioButtons" ma:hidden="true" ma:internalName="Activity" ma:readOnly="false">
      <xsd:simpleType>
        <xsd:union memberTypes="dms:Text">
          <xsd:simpleType>
            <xsd:restriction base="dms:Choice">
              <xsd:enumeration value="Submissions"/>
            </xsd:restriction>
          </xsd:simpleType>
        </xsd:union>
      </xsd:simpleType>
    </xsd:element>
    <xsd:element name="Key_x0020_Words" ma:index="37" nillable="true" ma:displayName="Key Words" ma:hidden="true" ma:internalName="Key_x0020_Words" ma:readOnly="false">
      <xsd:complexType>
        <xsd:complexContent>
          <xsd:extension base="dms:MultiChoice">
            <xsd:sequence>
              <xsd:element name="Value" maxOccurs="unbounded" minOccurs="0" nillable="true">
                <xsd:simpleType>
                  <xsd:restriction base="dms:Choice">
                    <xsd:enumeration value="Not yet defined"/>
                  </xsd:restriction>
                </xsd:simpleType>
              </xsd:element>
            </xsd:sequence>
          </xsd:extension>
        </xsd:complexContent>
      </xsd:complexType>
    </xsd:element>
    <xsd:element name="Project" ma:index="38"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se" ma:index="39" nillable="true" ma:displayName="Topic" ma:format="RadioButtons" ma:internalName="Case">
      <xsd:simpleType>
        <xsd:restriction base="dms:Choice">
          <xsd:enumeration value="Submission extensions and Waiver"/>
          <xsd:enumeration value="Submissions"/>
          <xsd:enumeration value="Late Submissions"/>
          <xsd:enumeration value="Collated Submissions"/>
          <xsd:enumeration value="Redacted version - Submissions"/>
        </xsd:restriction>
      </xsd:simpleType>
    </xsd:element>
    <xsd:element name="CategoryName" ma:index="40"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CategoryValue" ma:index="41"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Volume" ma:index="42"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e72f94b-53e5-49f5-adb9-3c093685bfe9" elementFormDefault="qualified">
    <xsd:import namespace="http://schemas.microsoft.com/office/2006/documentManagement/types"/>
    <xsd:import namespace="http://schemas.microsoft.com/office/infopath/2007/PartnerControls"/>
    <xsd:element name="eDocsDocNumber" ma:index="43" nillable="true" ma:displayName="eDocsDocNumber" ma:hidden="true" ma:internalName="eDocsDoc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df3e6-6458-4633-8dce-1160d9178ee3" elementFormDefault="qualified">
    <xsd:import namespace="http://schemas.microsoft.com/office/2006/documentManagement/types"/>
    <xsd:import namespace="http://schemas.microsoft.com/office/infopath/2007/PartnerControls"/>
    <xsd:element name="GWappID1" ma:index="44" nillable="true" ma:displayName="GWappID1" ma:default="" ma:description="Metadata for API queries from applications such as SLUR, GIS, Wells, etc" ma:hidden="true" ma:internalName="GWappID1"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uthoritative_Version xmlns="a476884f-b6e6-4d6d-bed2-5e9c1d8da3ce">false</Authoritative_Version>
    <PRA_Text_5 xmlns="a476884f-b6e6-4d6d-bed2-5e9c1d8da3ce" xsi:nil="true"/>
    <PRA_Date_3 xmlns="a476884f-b6e6-4d6d-bed2-5e9c1d8da3ce" xsi:nil="true"/>
    <Function xmlns="e21cbe00-2104-4159-b9b9-bd54555d1bf2">Regional Policy Statement - Plan Change</Function>
    <Volume xmlns="e21cbe00-2104-4159-b9b9-bd54555d1bf2">NA</Volume>
    <Project xmlns="e21cbe00-2104-4159-b9b9-bd54555d1bf2">NA</Project>
    <eDocsDocNumber xmlns="ce72f94b-53e5-49f5-adb9-3c093685bfe9" xsi:nil="true"/>
    <CategoryValue xmlns="e21cbe00-2104-4159-b9b9-bd54555d1bf2">NA</CategoryValue>
    <DocumentType xmlns="e21cbe00-2104-4159-b9b9-bd54555d1bf2">Submissions</DocumentType>
    <PRA_Text_1 xmlns="a476884f-b6e6-4d6d-bed2-5e9c1d8da3ce" xsi:nil="true"/>
    <PRA_Text_4 xmlns="a476884f-b6e6-4d6d-bed2-5e9c1d8da3ce" xsi:nil="true"/>
    <PRA_Date_Trigger xmlns="a476884f-b6e6-4d6d-bed2-5e9c1d8da3ce" xsi:nil="true"/>
    <Know-How_Type xmlns="a476884f-b6e6-4d6d-bed2-5e9c1d8da3ce">NA</Know-How_Type>
    <FunctionGroup xmlns="e21cbe00-2104-4159-b9b9-bd54555d1bf2">Environment Management</FunctionGroup>
    <Activity xmlns="e21cbe00-2104-4159-b9b9-bd54555d1bf2">Submissions</Activity>
    <Read_Only_Status xmlns="a476884f-b6e6-4d6d-bed2-5e9c1d8da3ce">Open</Read_Only_Status>
    <PRA_Date_Disposal xmlns="a476884f-b6e6-4d6d-bed2-5e9c1d8da3ce" xsi:nil="true"/>
    <Target_Audience xmlns="a476884f-b6e6-4d6d-bed2-5e9c1d8da3ce">Internal</Target_Audience>
    <CategoryName xmlns="e21cbe00-2104-4159-b9b9-bd54555d1bf2">NA</CategoryName>
    <Key_x0020_Words xmlns="e21cbe00-2104-4159-b9b9-bd54555d1bf2"/>
    <Case xmlns="e21cbe00-2104-4159-b9b9-bd54555d1bf2">Collated Submissions</Case>
    <Narrative xmlns="a476884f-b6e6-4d6d-bed2-5e9c1d8da3ce" xsi:nil="true"/>
    <Record_Type xmlns="a476884f-b6e6-4d6d-bed2-5e9c1d8da3ce">Normal</Record_Type>
    <Original_Document xmlns="a476884f-b6e6-4d6d-bed2-5e9c1d8da3ce" xsi:nil="true"/>
    <Aggregation_Status xmlns="a476884f-b6e6-4d6d-bed2-5e9c1d8da3ce">Normal</Aggregation_Status>
    <PRA_Text_3 xmlns="a476884f-b6e6-4d6d-bed2-5e9c1d8da3ce" xsi:nil="true"/>
    <PRA_Date_1 xmlns="a476884f-b6e6-4d6d-bed2-5e9c1d8da3ce" xsi:nil="true"/>
    <GWappID1 xmlns="902df3e6-6458-4633-8dce-1160d9178ee3" xsi:nil="true"/>
    <Subactivity xmlns="e21cbe00-2104-4159-b9b9-bd54555d1bf2">Submission Summary</Subactivity>
    <Related_People xmlns="a476884f-b6e6-4d6d-bed2-5e9c1d8da3ce">
      <UserInfo>
        <DisplayName/>
        <AccountId xsi:nil="true"/>
        <AccountType/>
      </UserInfo>
    </Related_People>
    <PRA_Type xmlns="a476884f-b6e6-4d6d-bed2-5e9c1d8da3ce">Doc</PRA_Type>
    <PRA_Text_2 xmlns="a476884f-b6e6-4d6d-bed2-5e9c1d8da3ce" xsi:nil="true"/>
    <PRA_Date_2 xmlns="a476884f-b6e6-4d6d-bed2-5e9c1d8da3ce" xsi:nil="true"/>
    <RecordID xmlns="a476884f-b6e6-4d6d-bed2-5e9c1d8da3ce">3770427</RecordID>
    <_dlc_DocId xmlns="e6476298-2e29-4370-97b5-3b69827fb5e9">RSPCHNG-96589757-258</_dlc_DocId>
    <_dlc_DocIdUrl xmlns="e6476298-2e29-4370-97b5-3b69827fb5e9">
      <Url>https://ourspace.gw.govt.nz/project/rspchng/_layouts/15/DocIdRedir.aspx?ID=RSPCHNG-96589757-258</Url>
      <Description>RSPCHNG-96589757-258</Description>
    </_dlc_DocIdUrl>
  </documentManagement>
</p:properties>
</file>

<file path=customXml/itemProps1.xml><?xml version="1.0" encoding="utf-8"?>
<ds:datastoreItem xmlns:ds="http://schemas.openxmlformats.org/officeDocument/2006/customXml" ds:itemID="{767ACEB2-D4E1-4683-A84C-4B2E650BA8DA}">
  <ds:schemaRefs>
    <ds:schemaRef ds:uri="http://schemas.microsoft.com/sharepoint/v3/contenttype/forms"/>
  </ds:schemaRefs>
</ds:datastoreItem>
</file>

<file path=customXml/itemProps2.xml><?xml version="1.0" encoding="utf-8"?>
<ds:datastoreItem xmlns:ds="http://schemas.openxmlformats.org/officeDocument/2006/customXml" ds:itemID="{B036F023-B16B-489E-BAAA-840E1723A4A9}">
  <ds:schemaRefs>
    <ds:schemaRef ds:uri="http://schemas.openxmlformats.org/officeDocument/2006/bibliography"/>
  </ds:schemaRefs>
</ds:datastoreItem>
</file>

<file path=customXml/itemProps3.xml><?xml version="1.0" encoding="utf-8"?>
<ds:datastoreItem xmlns:ds="http://schemas.openxmlformats.org/officeDocument/2006/customXml" ds:itemID="{23685434-4FA7-4FAF-985B-58766FBA5B70}">
  <ds:schemaRefs>
    <ds:schemaRef ds:uri="http://schemas.microsoft.com/sharepoint/events"/>
  </ds:schemaRefs>
</ds:datastoreItem>
</file>

<file path=customXml/itemProps4.xml><?xml version="1.0" encoding="utf-8"?>
<ds:datastoreItem xmlns:ds="http://schemas.openxmlformats.org/officeDocument/2006/customXml" ds:itemID="{97FCDF66-290A-40F2-9E18-76DB9A3C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884f-b6e6-4d6d-bed2-5e9c1d8da3ce"/>
    <ds:schemaRef ds:uri="e6476298-2e29-4370-97b5-3b69827fb5e9"/>
    <ds:schemaRef ds:uri="e21cbe00-2104-4159-b9b9-bd54555d1bf2"/>
    <ds:schemaRef ds:uri="ce72f94b-53e5-49f5-adb9-3c093685bfe9"/>
    <ds:schemaRef ds:uri="902df3e6-6458-4633-8dce-1160d9178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17B1DB-C012-4004-9B21-FF929F626549}">
  <ds:schemaRefs>
    <ds:schemaRef ds:uri="http://schemas.microsoft.com/office/2006/documentManagement/types"/>
    <ds:schemaRef ds:uri="ce72f94b-53e5-49f5-adb9-3c093685bfe9"/>
    <ds:schemaRef ds:uri="http://purl.org/dc/dcmitype/"/>
    <ds:schemaRef ds:uri="http://schemas.openxmlformats.org/package/2006/metadata/core-properties"/>
    <ds:schemaRef ds:uri="e6476298-2e29-4370-97b5-3b69827fb5e9"/>
    <ds:schemaRef ds:uri="a476884f-b6e6-4d6d-bed2-5e9c1d8da3ce"/>
    <ds:schemaRef ds:uri="http://schemas.microsoft.com/office/2006/metadata/properties"/>
    <ds:schemaRef ds:uri="http://schemas.microsoft.com/office/infopath/2007/PartnerControls"/>
    <ds:schemaRef ds:uri="http://purl.org/dc/elements/1.1/"/>
    <ds:schemaRef ds:uri="902df3e6-6458-4633-8dce-1160d9178ee3"/>
    <ds:schemaRef ds:uri="e21cbe00-2104-4159-b9b9-bd54555d1bf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Macdonald</dc:creator>
  <cp:keywords/>
  <dc:description/>
  <cp:lastModifiedBy>Whitney Middendorf</cp:lastModifiedBy>
  <cp:revision>2</cp:revision>
  <dcterms:created xsi:type="dcterms:W3CDTF">2022-12-02T07:15:00Z</dcterms:created>
  <dcterms:modified xsi:type="dcterms:W3CDTF">2022-12-02T07:15:00Z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0x010100AAAAAAAAAAAAAAAAAAAAAAAAAAAAAA02006AA1A29506589D4EA9F25C1EB0CE036A</vt:lpwstr>
  </property>
  <property fmtid="{D5CDD505-2E9C-101B-9397-08002B2CF9AE}" pid="3" name="_dlc_DocIdItemGuid">
    <vt:lpwstr>21b0d098-b7b2-478e-8b0a-4c7f6656b520</vt:lpwstr>
  </property>
</Properties>
</file>