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W w:w="4954" w:type="pct"/>
        <w:tblInd w:w="-5" w:type="dxa"/>
        <w:tblLayout w:type="fixed"/>
        <w:tblLook w:val="04A0" w:firstRow="1" w:lastRow="0" w:firstColumn="1" w:lastColumn="0" w:noHBand="0" w:noVBand="1"/>
      </w:tblPr>
      <w:tblGrid>
        <w:gridCol w:w="1173"/>
        <w:gridCol w:w="1355"/>
        <w:gridCol w:w="1158"/>
        <w:gridCol w:w="873"/>
        <w:gridCol w:w="4282"/>
        <w:gridCol w:w="5334"/>
      </w:tblGrid>
      <w:tr w:rsidR="00A232DE" w:rsidRPr="0011437E" w14:paraId="64807F47" w14:textId="77777777" w:rsidTr="0044579D">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73" w:type="dxa"/>
          </w:tcPr>
          <w:p w14:paraId="4B97D01D" w14:textId="77777777" w:rsidR="00A232DE" w:rsidRPr="0011437E" w:rsidRDefault="00A232DE" w:rsidP="00ED7B02">
            <w:pPr>
              <w:rPr>
                <w:rFonts w:ascii="Arial" w:hAnsi="Arial" w:cs="Arial"/>
                <w:sz w:val="20"/>
                <w:szCs w:val="20"/>
                <w:lang w:val="en-NZ"/>
              </w:rPr>
            </w:pPr>
            <w:r>
              <w:rPr>
                <w:rFonts w:ascii="Arial" w:hAnsi="Arial" w:cs="Arial"/>
                <w:sz w:val="20"/>
                <w:szCs w:val="20"/>
                <w:lang w:val="en-NZ"/>
              </w:rPr>
              <w:t>Submitter</w:t>
            </w:r>
          </w:p>
        </w:tc>
        <w:tc>
          <w:tcPr>
            <w:tcW w:w="1355" w:type="dxa"/>
          </w:tcPr>
          <w:p w14:paraId="1A17BA96" w14:textId="77777777" w:rsidR="00A232DE" w:rsidRPr="0011437E" w:rsidRDefault="00A232D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Submission Point</w:t>
            </w:r>
          </w:p>
        </w:tc>
        <w:tc>
          <w:tcPr>
            <w:tcW w:w="1158" w:type="dxa"/>
          </w:tcPr>
          <w:p w14:paraId="469E7263" w14:textId="77777777" w:rsidR="00A232DE" w:rsidRDefault="00A232D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Provision</w:t>
            </w:r>
          </w:p>
        </w:tc>
        <w:tc>
          <w:tcPr>
            <w:tcW w:w="873" w:type="dxa"/>
          </w:tcPr>
          <w:p w14:paraId="479720B2" w14:textId="77777777" w:rsidR="00A232DE" w:rsidRPr="0011437E" w:rsidRDefault="00A232D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Stance</w:t>
            </w:r>
          </w:p>
        </w:tc>
        <w:tc>
          <w:tcPr>
            <w:tcW w:w="4282" w:type="dxa"/>
          </w:tcPr>
          <w:p w14:paraId="0BCE399D" w14:textId="77777777" w:rsidR="00A232DE" w:rsidRPr="0011437E" w:rsidRDefault="00A232D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Reasons</w:t>
            </w:r>
          </w:p>
        </w:tc>
        <w:tc>
          <w:tcPr>
            <w:tcW w:w="5334" w:type="dxa"/>
          </w:tcPr>
          <w:p w14:paraId="0184F390" w14:textId="77777777" w:rsidR="00A232DE" w:rsidRPr="0011437E" w:rsidRDefault="00A232DE"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 xml:space="preserve">Decision Requested </w:t>
            </w:r>
          </w:p>
        </w:tc>
      </w:tr>
      <w:tr w:rsidR="00A232DE" w:rsidRPr="0011437E" w14:paraId="384A85F2"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09FA7D4"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S25 Carterton District Council  </w:t>
            </w:r>
          </w:p>
        </w:tc>
        <w:tc>
          <w:tcPr>
            <w:tcW w:w="1355" w:type="dxa"/>
          </w:tcPr>
          <w:p w14:paraId="77F6379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S25.046</w:t>
            </w:r>
          </w:p>
        </w:tc>
        <w:tc>
          <w:tcPr>
            <w:tcW w:w="1158" w:type="dxa"/>
          </w:tcPr>
          <w:p w14:paraId="167A132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regulatory methods</w:t>
            </w:r>
          </w:p>
        </w:tc>
        <w:tc>
          <w:tcPr>
            <w:tcW w:w="873" w:type="dxa"/>
          </w:tcPr>
          <w:p w14:paraId="643D453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282" w:type="dxa"/>
          </w:tcPr>
          <w:p w14:paraId="1D9603F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Submission point relates to Method 21. </w:t>
            </w:r>
            <w:r w:rsidRPr="0011437E">
              <w:rPr>
                <w:rFonts w:ascii="Arial" w:hAnsi="Arial" w:cs="Arial"/>
                <w:sz w:val="18"/>
                <w:szCs w:val="18"/>
              </w:rPr>
              <w:br/>
              <w:t>As stated in the submission on Policy 23, the timeframe proposed to identify and include SNAs in the Wairarapa Combined District Plan is very short given the lack of available resource, long term planning cycle and any consequential amendments required to the Wairarapa Combined District Plan as a result of the identification process. CDC opposes the inclusion of these dates, for the same reasons outlined in its submission on Policy 23.</w:t>
            </w:r>
            <w:r w:rsidRPr="0011437E">
              <w:rPr>
                <w:rFonts w:ascii="Arial" w:hAnsi="Arial" w:cs="Arial"/>
                <w:sz w:val="18"/>
                <w:szCs w:val="18"/>
              </w:rPr>
              <w:br/>
              <w:t>CDC supports the inclusion of alternative options where the timeframe is not able to be met.</w:t>
            </w:r>
          </w:p>
        </w:tc>
        <w:tc>
          <w:tcPr>
            <w:tcW w:w="5334" w:type="dxa"/>
          </w:tcPr>
          <w:p w14:paraId="1F23B7A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Remove this method.</w:t>
            </w:r>
            <w:r w:rsidRPr="0011437E">
              <w:rPr>
                <w:rFonts w:ascii="Arial" w:hAnsi="Arial" w:cs="Arial"/>
                <w:sz w:val="18"/>
                <w:szCs w:val="18"/>
              </w:rPr>
              <w:br/>
            </w:r>
            <w:r w:rsidRPr="0011437E">
              <w:rPr>
                <w:rFonts w:ascii="Arial" w:hAnsi="Arial" w:cs="Arial"/>
                <w:sz w:val="18"/>
                <w:szCs w:val="18"/>
              </w:rPr>
              <w:br/>
              <w:t> </w:t>
            </w:r>
          </w:p>
        </w:tc>
      </w:tr>
      <w:tr w:rsidR="00A232DE" w:rsidRPr="0011437E" w14:paraId="7D822EF8"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6515D8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S25 Carterton District Council  </w:t>
            </w:r>
          </w:p>
        </w:tc>
        <w:tc>
          <w:tcPr>
            <w:tcW w:w="1355" w:type="dxa"/>
          </w:tcPr>
          <w:p w14:paraId="6A7CDC2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S25.047</w:t>
            </w:r>
          </w:p>
        </w:tc>
        <w:tc>
          <w:tcPr>
            <w:tcW w:w="1158" w:type="dxa"/>
          </w:tcPr>
          <w:p w14:paraId="4FE0B0C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regulatory methods</w:t>
            </w:r>
          </w:p>
        </w:tc>
        <w:tc>
          <w:tcPr>
            <w:tcW w:w="873" w:type="dxa"/>
          </w:tcPr>
          <w:p w14:paraId="79EA4BE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2C6E008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Submission point relates to Method CC.4. </w:t>
            </w:r>
            <w:r w:rsidRPr="0011437E">
              <w:rPr>
                <w:rFonts w:ascii="Arial" w:hAnsi="Arial" w:cs="Arial"/>
                <w:sz w:val="18"/>
                <w:szCs w:val="18"/>
              </w:rPr>
              <w:br/>
              <w:t>CDC supports joint preparation and implementation of a regional forest spatial plan, and requests involvement at an early stage of development.</w:t>
            </w:r>
          </w:p>
        </w:tc>
        <w:tc>
          <w:tcPr>
            <w:tcW w:w="5334" w:type="dxa"/>
          </w:tcPr>
          <w:p w14:paraId="13173CB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this method.</w:t>
            </w:r>
            <w:r w:rsidRPr="0011437E">
              <w:rPr>
                <w:rFonts w:ascii="Arial" w:hAnsi="Arial" w:cs="Arial"/>
                <w:sz w:val="18"/>
                <w:szCs w:val="18"/>
              </w:rPr>
              <w:br/>
            </w:r>
            <w:r w:rsidRPr="0011437E">
              <w:rPr>
                <w:rFonts w:ascii="Arial" w:hAnsi="Arial" w:cs="Arial"/>
                <w:sz w:val="18"/>
                <w:szCs w:val="18"/>
              </w:rPr>
              <w:br/>
              <w:t> </w:t>
            </w:r>
          </w:p>
        </w:tc>
      </w:tr>
      <w:tr w:rsidR="00A232DE" w:rsidRPr="0011437E" w14:paraId="47B28440"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650DA28"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S32 Director-General of Conservation  </w:t>
            </w:r>
          </w:p>
        </w:tc>
        <w:tc>
          <w:tcPr>
            <w:tcW w:w="1355" w:type="dxa"/>
          </w:tcPr>
          <w:p w14:paraId="66CDDFF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S32.036</w:t>
            </w:r>
          </w:p>
        </w:tc>
        <w:tc>
          <w:tcPr>
            <w:tcW w:w="1158" w:type="dxa"/>
          </w:tcPr>
          <w:p w14:paraId="05E154B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regulatory methods</w:t>
            </w:r>
          </w:p>
        </w:tc>
        <w:tc>
          <w:tcPr>
            <w:tcW w:w="873" w:type="dxa"/>
          </w:tcPr>
          <w:p w14:paraId="307AEB7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76A8BE1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proposed changes appropriately revise the methods to support proposed changes to objectives and policies, including changes supported in this submission.</w:t>
            </w:r>
          </w:p>
        </w:tc>
        <w:tc>
          <w:tcPr>
            <w:tcW w:w="5334" w:type="dxa"/>
          </w:tcPr>
          <w:p w14:paraId="4290CA6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 </w:t>
            </w:r>
          </w:p>
        </w:tc>
      </w:tr>
      <w:tr w:rsidR="00A232DE" w:rsidRPr="0011437E" w14:paraId="535D44B1"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6885E1F"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S94 Guardians of the Bays Incorporated </w:t>
            </w:r>
          </w:p>
        </w:tc>
        <w:tc>
          <w:tcPr>
            <w:tcW w:w="1355" w:type="dxa"/>
          </w:tcPr>
          <w:p w14:paraId="588FA10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S94.018</w:t>
            </w:r>
          </w:p>
        </w:tc>
        <w:tc>
          <w:tcPr>
            <w:tcW w:w="1158" w:type="dxa"/>
          </w:tcPr>
          <w:p w14:paraId="644CDA2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regulatory methods</w:t>
            </w:r>
          </w:p>
        </w:tc>
        <w:tc>
          <w:tcPr>
            <w:tcW w:w="873" w:type="dxa"/>
          </w:tcPr>
          <w:p w14:paraId="735A20F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63B0C92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w:t>
            </w:r>
          </w:p>
        </w:tc>
        <w:tc>
          <w:tcPr>
            <w:tcW w:w="5334" w:type="dxa"/>
          </w:tcPr>
          <w:p w14:paraId="1020BF7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23A98484"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C2110B2"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S163 Wairarapa Federated Farmers </w:t>
            </w:r>
          </w:p>
        </w:tc>
        <w:tc>
          <w:tcPr>
            <w:tcW w:w="1355" w:type="dxa"/>
          </w:tcPr>
          <w:p w14:paraId="5B8A40B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S163.087</w:t>
            </w:r>
          </w:p>
        </w:tc>
        <w:tc>
          <w:tcPr>
            <w:tcW w:w="1158" w:type="dxa"/>
          </w:tcPr>
          <w:p w14:paraId="4C09891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regulatory methods</w:t>
            </w:r>
          </w:p>
        </w:tc>
        <w:tc>
          <w:tcPr>
            <w:tcW w:w="873" w:type="dxa"/>
          </w:tcPr>
          <w:p w14:paraId="24DE04A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282" w:type="dxa"/>
          </w:tcPr>
          <w:p w14:paraId="7464B8A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Defer to the 2024 RPS review, including in the context that RPS Change One is not an impediment to action on most or all of these methods. There is general support for the intent of methods which provide for Council partnering with the community. To that end, we specifically support the wording of Method CC.4 which provides inclusively for "using a partnership approach" and suggest that wording could be used more widely.</w:t>
            </w:r>
            <w:r w:rsidRPr="0011437E">
              <w:rPr>
                <w:rFonts w:ascii="Arial" w:hAnsi="Arial" w:cs="Arial"/>
                <w:sz w:val="18"/>
                <w:szCs w:val="18"/>
              </w:rPr>
              <w:br/>
            </w:r>
            <w:r w:rsidRPr="0011437E">
              <w:rPr>
                <w:rFonts w:ascii="Arial" w:hAnsi="Arial" w:cs="Arial"/>
                <w:sz w:val="18"/>
                <w:szCs w:val="18"/>
              </w:rPr>
              <w:br/>
              <w:t xml:space="preserve">However, the proposed over-arching Objectives A and B are intended to recognise the importance of </w:t>
            </w:r>
            <w:r w:rsidRPr="0011437E">
              <w:rPr>
                <w:rFonts w:ascii="Arial" w:hAnsi="Arial" w:cs="Arial"/>
                <w:sz w:val="18"/>
                <w:szCs w:val="18"/>
              </w:rPr>
              <w:lastRenderedPageBreak/>
              <w:t>this approach, and to provide a concrete pathway towards achieving it.</w:t>
            </w:r>
            <w:r w:rsidRPr="0011437E">
              <w:rPr>
                <w:rFonts w:ascii="Arial" w:hAnsi="Arial" w:cs="Arial"/>
                <w:sz w:val="18"/>
                <w:szCs w:val="18"/>
              </w:rPr>
              <w:br/>
            </w:r>
          </w:p>
        </w:tc>
        <w:tc>
          <w:tcPr>
            <w:tcW w:w="5334" w:type="dxa"/>
          </w:tcPr>
          <w:p w14:paraId="570CDDE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That all amendments to Chapter 4.5 be deleted</w:t>
            </w:r>
            <w:r w:rsidRPr="0011437E">
              <w:rPr>
                <w:rFonts w:ascii="Arial" w:hAnsi="Arial" w:cs="Arial"/>
                <w:sz w:val="18"/>
                <w:szCs w:val="18"/>
              </w:rPr>
              <w:br/>
              <w:t> </w:t>
            </w:r>
          </w:p>
        </w:tc>
      </w:tr>
      <w:tr w:rsidR="00A232DE" w:rsidRPr="0011437E" w14:paraId="3E42DF10"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94D8C2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S167 Taranaki Whānui </w:t>
            </w:r>
          </w:p>
        </w:tc>
        <w:tc>
          <w:tcPr>
            <w:tcW w:w="1355" w:type="dxa"/>
          </w:tcPr>
          <w:p w14:paraId="6F058F1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S167.0135</w:t>
            </w:r>
          </w:p>
        </w:tc>
        <w:tc>
          <w:tcPr>
            <w:tcW w:w="1158" w:type="dxa"/>
          </w:tcPr>
          <w:p w14:paraId="6FC3BFD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General comments - regulatory methods</w:t>
            </w:r>
          </w:p>
        </w:tc>
        <w:tc>
          <w:tcPr>
            <w:tcW w:w="873" w:type="dxa"/>
          </w:tcPr>
          <w:p w14:paraId="43A2FF0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5F1DC53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Taranaki Whānui seek clearer understanding of the Implementation Plan.</w:t>
            </w:r>
            <w:r w:rsidRPr="0011437E">
              <w:rPr>
                <w:rFonts w:ascii="Arial" w:hAnsi="Arial" w:cs="Arial"/>
                <w:sz w:val="18"/>
                <w:szCs w:val="18"/>
              </w:rPr>
              <w:br/>
            </w:r>
            <w:r w:rsidRPr="0011437E">
              <w:rPr>
                <w:rFonts w:ascii="Arial" w:hAnsi="Arial" w:cs="Arial"/>
                <w:sz w:val="18"/>
                <w:szCs w:val="18"/>
              </w:rPr>
              <w:br/>
              <w:t>See Chapter 5 comments - we are seeking that mana whenua are resourced to partner in the setting of AERs, monitoring/State of Environment report and reviewing/developing and executing the Implementation Plan.</w:t>
            </w:r>
          </w:p>
        </w:tc>
        <w:tc>
          <w:tcPr>
            <w:tcW w:w="5334" w:type="dxa"/>
          </w:tcPr>
          <w:p w14:paraId="1423D8D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Details of decision sought in submission points in particular related to Chapter 5.</w:t>
            </w:r>
            <w:r w:rsidRPr="0011437E">
              <w:rPr>
                <w:rFonts w:ascii="Arial" w:hAnsi="Arial" w:cs="Arial"/>
                <w:sz w:val="18"/>
                <w:szCs w:val="18"/>
              </w:rPr>
              <w:br/>
            </w:r>
            <w:r w:rsidRPr="0011437E">
              <w:rPr>
                <w:rFonts w:ascii="Arial" w:hAnsi="Arial" w:cs="Arial"/>
                <w:sz w:val="18"/>
                <w:szCs w:val="18"/>
              </w:rPr>
              <w:br/>
            </w:r>
            <w:r w:rsidRPr="0011437E">
              <w:rPr>
                <w:rFonts w:ascii="Arial" w:hAnsi="Arial" w:cs="Arial"/>
                <w:sz w:val="18"/>
                <w:szCs w:val="18"/>
              </w:rPr>
              <w:br/>
              <w:t> </w:t>
            </w:r>
          </w:p>
        </w:tc>
      </w:tr>
      <w:tr w:rsidR="00A232DE" w:rsidRPr="0011437E" w14:paraId="7AC4BBE7"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67447AC"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S102 Te Tumu Paeroa | Office of the Māori Trustee </w:t>
            </w:r>
          </w:p>
        </w:tc>
        <w:tc>
          <w:tcPr>
            <w:tcW w:w="1355" w:type="dxa"/>
          </w:tcPr>
          <w:p w14:paraId="55EE69A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S102.069</w:t>
            </w:r>
          </w:p>
        </w:tc>
        <w:tc>
          <w:tcPr>
            <w:tcW w:w="1158" w:type="dxa"/>
          </w:tcPr>
          <w:p w14:paraId="588847C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7F35D05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4E8684E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Generally supports the methods to implement for the 'Natural Hazards' chapter.</w:t>
            </w:r>
          </w:p>
        </w:tc>
        <w:tc>
          <w:tcPr>
            <w:tcW w:w="5334" w:type="dxa"/>
          </w:tcPr>
          <w:p w14:paraId="19A56FF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6E40C8AC"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8698C12"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S102 Te Tumu Paeroa | Office of the Māori Trustee </w:t>
            </w:r>
          </w:p>
        </w:tc>
        <w:tc>
          <w:tcPr>
            <w:tcW w:w="1355" w:type="dxa"/>
          </w:tcPr>
          <w:p w14:paraId="342F71D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S102.082</w:t>
            </w:r>
          </w:p>
        </w:tc>
        <w:tc>
          <w:tcPr>
            <w:tcW w:w="1158" w:type="dxa"/>
          </w:tcPr>
          <w:p w14:paraId="1828870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65D18D6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3329C10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Generally supports the methods to implement for the 'Coastal Environment' chapter.</w:t>
            </w:r>
          </w:p>
        </w:tc>
        <w:tc>
          <w:tcPr>
            <w:tcW w:w="5334" w:type="dxa"/>
          </w:tcPr>
          <w:p w14:paraId="63DE9D2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as notified. </w:t>
            </w:r>
            <w:r w:rsidRPr="0011437E">
              <w:rPr>
                <w:rFonts w:ascii="Arial" w:hAnsi="Arial" w:cs="Arial"/>
                <w:sz w:val="18"/>
                <w:szCs w:val="18"/>
              </w:rPr>
              <w:br/>
              <w:t> </w:t>
            </w:r>
          </w:p>
        </w:tc>
      </w:tr>
      <w:tr w:rsidR="00A232DE" w:rsidRPr="0011437E" w14:paraId="0793C510"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65F5BF4"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S115 Hutt City Council </w:t>
            </w:r>
          </w:p>
        </w:tc>
        <w:tc>
          <w:tcPr>
            <w:tcW w:w="1355" w:type="dxa"/>
          </w:tcPr>
          <w:p w14:paraId="5357880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S115.091</w:t>
            </w:r>
          </w:p>
        </w:tc>
        <w:tc>
          <w:tcPr>
            <w:tcW w:w="1158" w:type="dxa"/>
          </w:tcPr>
          <w:p w14:paraId="32007A5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57622ED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6CAC337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insofar as any consequential amendments to the list of policies are made where we have sought the deletion of those policies.</w:t>
            </w:r>
          </w:p>
        </w:tc>
        <w:tc>
          <w:tcPr>
            <w:tcW w:w="5334" w:type="dxa"/>
          </w:tcPr>
          <w:p w14:paraId="253F470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Consequentialamendment to the list of policies to reflectpolicies where we seek deletion</w:t>
            </w:r>
            <w:r w:rsidRPr="0011437E">
              <w:rPr>
                <w:rFonts w:ascii="Arial" w:hAnsi="Arial" w:cs="Arial"/>
                <w:sz w:val="18"/>
                <w:szCs w:val="18"/>
              </w:rPr>
              <w:br/>
            </w:r>
            <w:r w:rsidRPr="0011437E">
              <w:rPr>
                <w:rFonts w:ascii="Arial" w:hAnsi="Arial" w:cs="Arial"/>
                <w:sz w:val="18"/>
                <w:szCs w:val="18"/>
              </w:rPr>
              <w:br/>
              <w:t> </w:t>
            </w:r>
          </w:p>
        </w:tc>
      </w:tr>
      <w:tr w:rsidR="00A232DE" w:rsidRPr="0011437E" w14:paraId="5BC3EE28"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AFBA62B"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S140 Wellington City Council (WCC) </w:t>
            </w:r>
          </w:p>
        </w:tc>
        <w:tc>
          <w:tcPr>
            <w:tcW w:w="1355" w:type="dxa"/>
          </w:tcPr>
          <w:p w14:paraId="332291A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S140.092</w:t>
            </w:r>
          </w:p>
        </w:tc>
        <w:tc>
          <w:tcPr>
            <w:tcW w:w="1158" w:type="dxa"/>
          </w:tcPr>
          <w:p w14:paraId="0AFFD5D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13BA93A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77BF80F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Update to reflect other relief sought by WCC. </w:t>
            </w:r>
          </w:p>
        </w:tc>
        <w:tc>
          <w:tcPr>
            <w:tcW w:w="5334" w:type="dxa"/>
          </w:tcPr>
          <w:p w14:paraId="08C3D4B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Any relevant amendments to the list of policies to reflect policies where we seek deletion</w:t>
            </w:r>
            <w:r w:rsidRPr="0011437E">
              <w:rPr>
                <w:rFonts w:ascii="Arial" w:hAnsi="Arial" w:cs="Arial"/>
                <w:sz w:val="18"/>
                <w:szCs w:val="18"/>
              </w:rPr>
              <w:br/>
              <w:t> </w:t>
            </w:r>
          </w:p>
        </w:tc>
      </w:tr>
      <w:tr w:rsidR="00A232DE" w:rsidRPr="0011437E" w14:paraId="5E5347D9"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6945C8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55" w:type="dxa"/>
          </w:tcPr>
          <w:p w14:paraId="04AEABB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S147.084</w:t>
            </w:r>
          </w:p>
        </w:tc>
        <w:tc>
          <w:tcPr>
            <w:tcW w:w="1158" w:type="dxa"/>
          </w:tcPr>
          <w:p w14:paraId="730F83F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3547AC4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19A8BCC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In general supports the amendment of district plans to implement policies after the policies listed here have been amended or agreed on.</w:t>
            </w:r>
          </w:p>
        </w:tc>
        <w:tc>
          <w:tcPr>
            <w:tcW w:w="5334" w:type="dxa"/>
          </w:tcPr>
          <w:p w14:paraId="795F768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the following policies prior to integrating into district plans:</w:t>
            </w:r>
            <w:r w:rsidRPr="0011437E">
              <w:rPr>
                <w:rFonts w:ascii="Arial" w:hAnsi="Arial" w:cs="Arial"/>
                <w:sz w:val="18"/>
                <w:szCs w:val="18"/>
              </w:rPr>
              <w:br/>
              <w:t>Policy FW.3, Policy 23, Policy 24, Policy IE.1.</w:t>
            </w:r>
            <w:r w:rsidRPr="0011437E">
              <w:rPr>
                <w:rFonts w:ascii="Arial" w:hAnsi="Arial" w:cs="Arial"/>
                <w:sz w:val="18"/>
                <w:szCs w:val="18"/>
              </w:rPr>
              <w:br/>
              <w:t> </w:t>
            </w:r>
          </w:p>
        </w:tc>
      </w:tr>
      <w:tr w:rsidR="00A232DE" w:rsidRPr="0011437E" w14:paraId="580BC5F1"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BF84732"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S165 Royal Forest and Bird Protection </w:t>
            </w:r>
            <w:r w:rsidRPr="0011437E">
              <w:rPr>
                <w:rFonts w:ascii="Arial" w:hAnsi="Arial" w:cs="Arial"/>
                <w:sz w:val="18"/>
                <w:szCs w:val="18"/>
              </w:rPr>
              <w:lastRenderedPageBreak/>
              <w:t xml:space="preserve">Society of New Zealand Inc. (Forest &amp; Bird) </w:t>
            </w:r>
          </w:p>
        </w:tc>
        <w:tc>
          <w:tcPr>
            <w:tcW w:w="1355" w:type="dxa"/>
          </w:tcPr>
          <w:p w14:paraId="3ED00A3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S165.092</w:t>
            </w:r>
          </w:p>
        </w:tc>
        <w:tc>
          <w:tcPr>
            <w:tcW w:w="1158" w:type="dxa"/>
          </w:tcPr>
          <w:p w14:paraId="4DBDFF8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0CFFD26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4D3696E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absence of a date means that the policies may never be implemented, if it is not reasonably practicable to do so.</w:t>
            </w:r>
          </w:p>
        </w:tc>
        <w:tc>
          <w:tcPr>
            <w:tcW w:w="5334" w:type="dxa"/>
          </w:tcPr>
          <w:p w14:paraId="4247D03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Include a requirement that, in any event, the policies are implemented by the time the district plan is reviewed.</w:t>
            </w:r>
            <w:r w:rsidRPr="0011437E">
              <w:rPr>
                <w:rFonts w:ascii="Arial" w:hAnsi="Arial" w:cs="Arial"/>
                <w:sz w:val="18"/>
                <w:szCs w:val="18"/>
              </w:rPr>
              <w:br/>
              <w:t> </w:t>
            </w:r>
          </w:p>
        </w:tc>
      </w:tr>
      <w:tr w:rsidR="00A232DE" w:rsidRPr="0011437E" w14:paraId="79D540C6"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56B580F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S167 Taranaki Whānui </w:t>
            </w:r>
          </w:p>
        </w:tc>
        <w:tc>
          <w:tcPr>
            <w:tcW w:w="1355" w:type="dxa"/>
          </w:tcPr>
          <w:p w14:paraId="0C21A2C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S167.0136</w:t>
            </w:r>
          </w:p>
        </w:tc>
        <w:tc>
          <w:tcPr>
            <w:tcW w:w="1158" w:type="dxa"/>
          </w:tcPr>
          <w:p w14:paraId="02B59AD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0C00D55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170586E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Taranaki Whānui supports this method and in particular the requirement for district plans to be amended 'as soon as reasonably practicable' so as to begin the implementation of much needed environmental protections.</w:t>
            </w:r>
          </w:p>
        </w:tc>
        <w:tc>
          <w:tcPr>
            <w:tcW w:w="5334" w:type="dxa"/>
          </w:tcPr>
          <w:p w14:paraId="4A13EF6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2592B6F7"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522E8C4"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S168 Rangitāne O Wairarapa Inc </w:t>
            </w:r>
          </w:p>
        </w:tc>
        <w:tc>
          <w:tcPr>
            <w:tcW w:w="1355" w:type="dxa"/>
          </w:tcPr>
          <w:p w14:paraId="27484BF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S168.0182</w:t>
            </w:r>
          </w:p>
        </w:tc>
        <w:tc>
          <w:tcPr>
            <w:tcW w:w="1158" w:type="dxa"/>
          </w:tcPr>
          <w:p w14:paraId="006B894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1: District plan implementation</w:t>
            </w:r>
          </w:p>
        </w:tc>
        <w:tc>
          <w:tcPr>
            <w:tcW w:w="873" w:type="dxa"/>
          </w:tcPr>
          <w:p w14:paraId="387D746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3FE8766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Implementing the process of amending district plans as soon as practicable is supported. It would helpful if the method included an end date by which this process should have occurred.   </w:t>
            </w:r>
          </w:p>
        </w:tc>
        <w:tc>
          <w:tcPr>
            <w:tcW w:w="5334" w:type="dxa"/>
          </w:tcPr>
          <w:p w14:paraId="5414306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Specify an end date by which this process should have occurred.</w:t>
            </w:r>
            <w:r w:rsidRPr="0011437E">
              <w:rPr>
                <w:rFonts w:ascii="Arial" w:hAnsi="Arial" w:cs="Arial"/>
                <w:sz w:val="18"/>
                <w:szCs w:val="18"/>
              </w:rPr>
              <w:br/>
              <w:t> </w:t>
            </w:r>
          </w:p>
        </w:tc>
      </w:tr>
      <w:tr w:rsidR="00A232DE" w:rsidRPr="0011437E" w14:paraId="6DDC6B58"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881F4C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S102 Te Tumu Paeroa | Office of the Māori Trustee </w:t>
            </w:r>
          </w:p>
        </w:tc>
        <w:tc>
          <w:tcPr>
            <w:tcW w:w="1355" w:type="dxa"/>
          </w:tcPr>
          <w:p w14:paraId="7C974D7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S102.083</w:t>
            </w:r>
          </w:p>
        </w:tc>
        <w:tc>
          <w:tcPr>
            <w:tcW w:w="1158" w:type="dxa"/>
          </w:tcPr>
          <w:p w14:paraId="6EC3A00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2: Regional plan implementation</w:t>
            </w:r>
          </w:p>
        </w:tc>
        <w:tc>
          <w:tcPr>
            <w:tcW w:w="873" w:type="dxa"/>
          </w:tcPr>
          <w:p w14:paraId="61E01E7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6DFD8BE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Generally supports the methods to implement for the 'Coastal Environment' chapter.</w:t>
            </w:r>
          </w:p>
        </w:tc>
        <w:tc>
          <w:tcPr>
            <w:tcW w:w="5334" w:type="dxa"/>
          </w:tcPr>
          <w:p w14:paraId="32EDF4F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04ECC519"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C0EFC37"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S129 Waka Kotahi NZ Transport Agency </w:t>
            </w:r>
          </w:p>
        </w:tc>
        <w:tc>
          <w:tcPr>
            <w:tcW w:w="1355" w:type="dxa"/>
          </w:tcPr>
          <w:p w14:paraId="25EE9D8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S129.030</w:t>
            </w:r>
          </w:p>
        </w:tc>
        <w:tc>
          <w:tcPr>
            <w:tcW w:w="1158" w:type="dxa"/>
          </w:tcPr>
          <w:p w14:paraId="4CDE2DA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2: Regional plan implementation</w:t>
            </w:r>
          </w:p>
        </w:tc>
        <w:tc>
          <w:tcPr>
            <w:tcW w:w="873" w:type="dxa"/>
          </w:tcPr>
          <w:p w14:paraId="028AE02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24C5E24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Supports this method as it aligns with the timeframes specified within higher order documents.</w:t>
            </w:r>
          </w:p>
        </w:tc>
        <w:tc>
          <w:tcPr>
            <w:tcW w:w="5334" w:type="dxa"/>
          </w:tcPr>
          <w:p w14:paraId="56869AC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6799E9DC"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A520CC7"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55" w:type="dxa"/>
          </w:tcPr>
          <w:p w14:paraId="08C0E6B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S147.085</w:t>
            </w:r>
          </w:p>
        </w:tc>
        <w:tc>
          <w:tcPr>
            <w:tcW w:w="1158" w:type="dxa"/>
          </w:tcPr>
          <w:p w14:paraId="5D5F39E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2: Regional plan implementation</w:t>
            </w:r>
          </w:p>
        </w:tc>
        <w:tc>
          <w:tcPr>
            <w:tcW w:w="873" w:type="dxa"/>
          </w:tcPr>
          <w:p w14:paraId="293D49C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2F434E1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In general supports the amendment of district plans to implement policies after the policies listed here have been amended or agreed on.</w:t>
            </w:r>
          </w:p>
        </w:tc>
        <w:tc>
          <w:tcPr>
            <w:tcW w:w="5334" w:type="dxa"/>
          </w:tcPr>
          <w:p w14:paraId="4417FEE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the following policies prior to integrating into district plans:</w:t>
            </w:r>
            <w:r w:rsidRPr="0011437E">
              <w:rPr>
                <w:rFonts w:ascii="Arial" w:hAnsi="Arial" w:cs="Arial"/>
                <w:sz w:val="18"/>
                <w:szCs w:val="18"/>
              </w:rPr>
              <w:br/>
              <w:t>Policy 12, Policy 18, Policy 23, Policy 24, Policy IE.1.</w:t>
            </w:r>
            <w:r w:rsidRPr="0011437E">
              <w:rPr>
                <w:rFonts w:ascii="Arial" w:hAnsi="Arial" w:cs="Arial"/>
                <w:sz w:val="18"/>
                <w:szCs w:val="18"/>
              </w:rPr>
              <w:br/>
              <w:t> </w:t>
            </w:r>
          </w:p>
        </w:tc>
      </w:tr>
      <w:tr w:rsidR="00A232DE" w:rsidRPr="0011437E" w14:paraId="30175BF1"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16AD7AE3"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S165 Royal Forest and Bird Protection Society of New Zealand Inc. </w:t>
            </w:r>
            <w:r w:rsidRPr="0011437E">
              <w:rPr>
                <w:rFonts w:ascii="Arial" w:hAnsi="Arial" w:cs="Arial"/>
                <w:sz w:val="18"/>
                <w:szCs w:val="18"/>
              </w:rPr>
              <w:lastRenderedPageBreak/>
              <w:t xml:space="preserve">(Forest &amp; Bird) </w:t>
            </w:r>
          </w:p>
        </w:tc>
        <w:tc>
          <w:tcPr>
            <w:tcW w:w="1355" w:type="dxa"/>
          </w:tcPr>
          <w:p w14:paraId="1850016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S165.093</w:t>
            </w:r>
          </w:p>
        </w:tc>
        <w:tc>
          <w:tcPr>
            <w:tcW w:w="1158" w:type="dxa"/>
          </w:tcPr>
          <w:p w14:paraId="5D28FE3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2: Regional plan implementation</w:t>
            </w:r>
          </w:p>
        </w:tc>
        <w:tc>
          <w:tcPr>
            <w:tcW w:w="873" w:type="dxa"/>
          </w:tcPr>
          <w:p w14:paraId="08AC7B6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5C0659C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absence of a date means that the policies may never be implemented, if it is</w:t>
            </w:r>
            <w:r w:rsidRPr="0011437E">
              <w:rPr>
                <w:rFonts w:ascii="Arial" w:hAnsi="Arial" w:cs="Arial"/>
                <w:sz w:val="18"/>
                <w:szCs w:val="18"/>
              </w:rPr>
              <w:br/>
              <w:t>not reasonably practicable to do so.</w:t>
            </w:r>
          </w:p>
        </w:tc>
        <w:tc>
          <w:tcPr>
            <w:tcW w:w="5334" w:type="dxa"/>
          </w:tcPr>
          <w:p w14:paraId="7AAF3F2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Include a requirement that, in any event, the policies are implemented by the time the district plan is reviewed.</w:t>
            </w:r>
            <w:r w:rsidRPr="0011437E">
              <w:rPr>
                <w:rFonts w:ascii="Arial" w:hAnsi="Arial" w:cs="Arial"/>
                <w:sz w:val="18"/>
                <w:szCs w:val="18"/>
              </w:rPr>
              <w:br/>
              <w:t> </w:t>
            </w:r>
          </w:p>
        </w:tc>
      </w:tr>
      <w:tr w:rsidR="00A232DE" w:rsidRPr="0011437E" w14:paraId="417BB477"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B2F083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S167 Taranaki Whānui </w:t>
            </w:r>
          </w:p>
        </w:tc>
        <w:tc>
          <w:tcPr>
            <w:tcW w:w="1355" w:type="dxa"/>
          </w:tcPr>
          <w:p w14:paraId="2659F8E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S167.0137</w:t>
            </w:r>
          </w:p>
        </w:tc>
        <w:tc>
          <w:tcPr>
            <w:tcW w:w="1158" w:type="dxa"/>
          </w:tcPr>
          <w:p w14:paraId="2ADEF33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2: Regional plan implementation</w:t>
            </w:r>
          </w:p>
        </w:tc>
        <w:tc>
          <w:tcPr>
            <w:tcW w:w="873" w:type="dxa"/>
          </w:tcPr>
          <w:p w14:paraId="4624955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0481EBB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Taranaki Whānui supports this method and in particular the requirement for regional plans to be amended 'as soon as reasonably practicable' so as to begin the implementation of much needed environmental protections.</w:t>
            </w:r>
          </w:p>
        </w:tc>
        <w:tc>
          <w:tcPr>
            <w:tcW w:w="5334" w:type="dxa"/>
          </w:tcPr>
          <w:p w14:paraId="073CC5C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79F97B20"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1C6FEEA"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S168 Rangitāne O Wairarapa Inc </w:t>
            </w:r>
          </w:p>
        </w:tc>
        <w:tc>
          <w:tcPr>
            <w:tcW w:w="1355" w:type="dxa"/>
          </w:tcPr>
          <w:p w14:paraId="0A2E2E0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S168.0137</w:t>
            </w:r>
          </w:p>
        </w:tc>
        <w:tc>
          <w:tcPr>
            <w:tcW w:w="1158" w:type="dxa"/>
          </w:tcPr>
          <w:p w14:paraId="10C4D02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2: Regional plan implementation</w:t>
            </w:r>
          </w:p>
        </w:tc>
        <w:tc>
          <w:tcPr>
            <w:tcW w:w="873" w:type="dxa"/>
          </w:tcPr>
          <w:p w14:paraId="697186D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434E9B7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Rangitāne o Wairarapa strongly support providing policies, rules and methods to protect tangata whenua and communities from adverse health and amenity impacts from the discharges identified, as well as the phase-out of coal as a fuel source domestically and commercially. Rangitāne o Wairarapa support providing policies, rules and methods to support industry to reduce greenhouse gas emissions</w:t>
            </w:r>
          </w:p>
        </w:tc>
        <w:tc>
          <w:tcPr>
            <w:tcW w:w="5334" w:type="dxa"/>
          </w:tcPr>
          <w:p w14:paraId="39AE979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policy to support reductions in industrial GHG emissions that are consistent with national GHG emissions targets.</w:t>
            </w:r>
            <w:r w:rsidRPr="0011437E">
              <w:rPr>
                <w:rFonts w:ascii="Arial" w:hAnsi="Arial" w:cs="Arial"/>
                <w:sz w:val="18"/>
                <w:szCs w:val="18"/>
              </w:rPr>
              <w:br/>
              <w:t> </w:t>
            </w:r>
          </w:p>
        </w:tc>
      </w:tr>
      <w:tr w:rsidR="00A232DE" w:rsidRPr="0011437E" w14:paraId="250842D8"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2F57894"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S115 Hutt City Council </w:t>
            </w:r>
          </w:p>
        </w:tc>
        <w:tc>
          <w:tcPr>
            <w:tcW w:w="1355" w:type="dxa"/>
          </w:tcPr>
          <w:p w14:paraId="4E1FACA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S115.092</w:t>
            </w:r>
          </w:p>
        </w:tc>
        <w:tc>
          <w:tcPr>
            <w:tcW w:w="1158" w:type="dxa"/>
          </w:tcPr>
          <w:p w14:paraId="0E625EC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3: Wellington Regional Land Transport Plan implementation</w:t>
            </w:r>
          </w:p>
        </w:tc>
        <w:tc>
          <w:tcPr>
            <w:tcW w:w="873" w:type="dxa"/>
          </w:tcPr>
          <w:p w14:paraId="6EDBABA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7C54DC9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 reasons given</w:t>
            </w:r>
          </w:p>
        </w:tc>
        <w:tc>
          <w:tcPr>
            <w:tcW w:w="5334" w:type="dxa"/>
          </w:tcPr>
          <w:p w14:paraId="5E9F6C3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192950AB"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8F9146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S129 Waka Kotahi NZ Transport Agency </w:t>
            </w:r>
          </w:p>
        </w:tc>
        <w:tc>
          <w:tcPr>
            <w:tcW w:w="1355" w:type="dxa"/>
          </w:tcPr>
          <w:p w14:paraId="1690E5F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S129.031</w:t>
            </w:r>
          </w:p>
        </w:tc>
        <w:tc>
          <w:tcPr>
            <w:tcW w:w="1158" w:type="dxa"/>
          </w:tcPr>
          <w:p w14:paraId="7BB47DF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3: Wellington Regional Land Transport Plan implementation</w:t>
            </w:r>
          </w:p>
        </w:tc>
        <w:tc>
          <w:tcPr>
            <w:tcW w:w="873" w:type="dxa"/>
          </w:tcPr>
          <w:p w14:paraId="5651447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06BCA46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Supports to be involved in advance to enable early collaboration.</w:t>
            </w:r>
          </w:p>
        </w:tc>
        <w:tc>
          <w:tcPr>
            <w:tcW w:w="5334" w:type="dxa"/>
          </w:tcPr>
          <w:p w14:paraId="0DFC0A7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19067F42"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1086BC3"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S140 Wellington City Council (WCC) </w:t>
            </w:r>
          </w:p>
        </w:tc>
        <w:tc>
          <w:tcPr>
            <w:tcW w:w="1355" w:type="dxa"/>
          </w:tcPr>
          <w:p w14:paraId="1B1B082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S140.093</w:t>
            </w:r>
          </w:p>
        </w:tc>
        <w:tc>
          <w:tcPr>
            <w:tcW w:w="1158" w:type="dxa"/>
          </w:tcPr>
          <w:p w14:paraId="225BE0E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3: Wellington Regional Land Transport Plan implementation</w:t>
            </w:r>
          </w:p>
        </w:tc>
        <w:tc>
          <w:tcPr>
            <w:tcW w:w="873" w:type="dxa"/>
          </w:tcPr>
          <w:p w14:paraId="39CFE26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772D2CC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Support as proposed. </w:t>
            </w:r>
          </w:p>
        </w:tc>
        <w:tc>
          <w:tcPr>
            <w:tcW w:w="5334" w:type="dxa"/>
          </w:tcPr>
          <w:p w14:paraId="1B1BEAA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6A055A78"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94CD85A"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S165 Royal </w:t>
            </w:r>
            <w:r w:rsidRPr="0011437E">
              <w:rPr>
                <w:rFonts w:ascii="Arial" w:hAnsi="Arial" w:cs="Arial"/>
                <w:sz w:val="18"/>
                <w:szCs w:val="18"/>
              </w:rPr>
              <w:lastRenderedPageBreak/>
              <w:t xml:space="preserve">Forest and Bird Protection Society of New Zealand Inc. (Forest &amp; Bird) </w:t>
            </w:r>
          </w:p>
        </w:tc>
        <w:tc>
          <w:tcPr>
            <w:tcW w:w="1355" w:type="dxa"/>
          </w:tcPr>
          <w:p w14:paraId="0414B23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S165.094</w:t>
            </w:r>
          </w:p>
        </w:tc>
        <w:tc>
          <w:tcPr>
            <w:tcW w:w="1158" w:type="dxa"/>
          </w:tcPr>
          <w:p w14:paraId="742CDFA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3: Wellington </w:t>
            </w:r>
            <w:r w:rsidRPr="0011437E">
              <w:rPr>
                <w:rFonts w:ascii="Arial" w:hAnsi="Arial" w:cs="Arial"/>
                <w:sz w:val="18"/>
                <w:szCs w:val="18"/>
              </w:rPr>
              <w:lastRenderedPageBreak/>
              <w:t>Regional Land Transport Plan implementation</w:t>
            </w:r>
          </w:p>
        </w:tc>
        <w:tc>
          <w:tcPr>
            <w:tcW w:w="873" w:type="dxa"/>
          </w:tcPr>
          <w:p w14:paraId="788C0A1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4282" w:type="dxa"/>
          </w:tcPr>
          <w:p w14:paraId="2F6AFB4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34" w:type="dxa"/>
          </w:tcPr>
          <w:p w14:paraId="3636A93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w:t>
            </w:r>
            <w:r w:rsidRPr="0011437E">
              <w:rPr>
                <w:rFonts w:ascii="Arial" w:hAnsi="Arial" w:cs="Arial"/>
                <w:sz w:val="18"/>
                <w:szCs w:val="18"/>
              </w:rPr>
              <w:br/>
              <w:t> </w:t>
            </w:r>
          </w:p>
        </w:tc>
      </w:tr>
      <w:tr w:rsidR="00A232DE" w:rsidRPr="0011437E" w14:paraId="41E6C0DF"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A6CAB1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S167 Taranaki Whānui </w:t>
            </w:r>
          </w:p>
        </w:tc>
        <w:tc>
          <w:tcPr>
            <w:tcW w:w="1355" w:type="dxa"/>
          </w:tcPr>
          <w:p w14:paraId="65ECC16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S167.0138</w:t>
            </w:r>
          </w:p>
        </w:tc>
        <w:tc>
          <w:tcPr>
            <w:tcW w:w="1158" w:type="dxa"/>
          </w:tcPr>
          <w:p w14:paraId="0DDCFCF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3: Wellington Regional Land Transport Plan implementation</w:t>
            </w:r>
          </w:p>
        </w:tc>
        <w:tc>
          <w:tcPr>
            <w:tcW w:w="873" w:type="dxa"/>
          </w:tcPr>
          <w:p w14:paraId="71E1423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 in part</w:t>
            </w:r>
          </w:p>
        </w:tc>
        <w:tc>
          <w:tcPr>
            <w:tcW w:w="4282" w:type="dxa"/>
          </w:tcPr>
          <w:p w14:paraId="69B6BB9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Taranaki Whānui support the intent and direction of Objective 22 including the provision at (h) to enable Māori to express their cultural and traditional norms by providing mana whenua / tangata whenua and their relationship with their culture, land, water, sites, waahi tapu and other taonga. We support the intention to direct 'planning decisions relating to urban environments'.</w:t>
            </w:r>
            <w:r w:rsidRPr="0011437E">
              <w:rPr>
                <w:rFonts w:ascii="Arial" w:hAnsi="Arial" w:cs="Arial"/>
                <w:sz w:val="18"/>
                <w:szCs w:val="18"/>
              </w:rPr>
              <w:br/>
            </w:r>
            <w:r w:rsidRPr="0011437E">
              <w:rPr>
                <w:rFonts w:ascii="Arial" w:hAnsi="Arial" w:cs="Arial"/>
                <w:sz w:val="18"/>
                <w:szCs w:val="18"/>
              </w:rPr>
              <w:br/>
              <w:t>Taranaki Whānui understand from GWRC officers that the specific urban development provisions that reflect NPS-UD Objective 5 and Policy 9 are provided by Policies UD1 and UD2. What is lacking in these provisions is specific reference to respective Treaty relationships with mana whenua partners across the region. This is a concern for Taranaki Whānui as treaty partners and in relation to the proposed provisions.</w:t>
            </w:r>
            <w:r w:rsidRPr="0011437E">
              <w:rPr>
                <w:rFonts w:ascii="Arial" w:hAnsi="Arial" w:cs="Arial"/>
                <w:sz w:val="18"/>
                <w:szCs w:val="18"/>
              </w:rPr>
              <w:br/>
            </w:r>
            <w:r w:rsidRPr="0011437E">
              <w:rPr>
                <w:rFonts w:ascii="Arial" w:hAnsi="Arial" w:cs="Arial"/>
                <w:sz w:val="18"/>
                <w:szCs w:val="18"/>
              </w:rPr>
              <w:br/>
              <w:t>Taranaki Whānui note new policy EIW.1 focusses on providing direction to the Regional Land Transport Plan and by order of hierarchy (including Objective 22) mana whenua / tangata whenua involvement will be required. It is not explicit for treaty partners. As with decision sought on Objective 22, we require explicit direction for treaty partner involvement.</w:t>
            </w:r>
          </w:p>
        </w:tc>
        <w:tc>
          <w:tcPr>
            <w:tcW w:w="5334" w:type="dxa"/>
          </w:tcPr>
          <w:p w14:paraId="224811F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Re-draft Method 3</w:t>
            </w:r>
            <w:r w:rsidRPr="0011437E">
              <w:rPr>
                <w:rFonts w:ascii="Arial" w:hAnsi="Arial" w:cs="Arial"/>
                <w:sz w:val="18"/>
                <w:szCs w:val="18"/>
              </w:rPr>
              <w:br/>
            </w:r>
            <w:r w:rsidRPr="0011437E">
              <w:rPr>
                <w:rFonts w:ascii="Arial" w:hAnsi="Arial" w:cs="Arial"/>
                <w:sz w:val="18"/>
                <w:szCs w:val="18"/>
              </w:rPr>
              <w:br/>
            </w:r>
            <w:r w:rsidRPr="0011437E">
              <w:rPr>
                <w:rFonts w:ascii="Arial" w:hAnsi="Arial" w:cs="Arial"/>
                <w:sz w:val="18"/>
                <w:szCs w:val="18"/>
              </w:rPr>
              <w:br/>
            </w:r>
            <w:r w:rsidRPr="0011437E">
              <w:rPr>
                <w:rFonts w:ascii="Arial" w:hAnsi="Arial" w:cs="Arial"/>
                <w:sz w:val="18"/>
                <w:szCs w:val="18"/>
              </w:rPr>
              <w:br/>
            </w:r>
            <w:r w:rsidRPr="0011437E">
              <w:rPr>
                <w:rFonts w:ascii="Arial" w:hAnsi="Arial" w:cs="Arial"/>
                <w:sz w:val="18"/>
                <w:szCs w:val="18"/>
              </w:rPr>
              <w:br/>
              <w:t> </w:t>
            </w:r>
          </w:p>
        </w:tc>
      </w:tr>
      <w:tr w:rsidR="00A232DE" w:rsidRPr="0011437E" w14:paraId="21707EA4"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C81FA10"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S168 Rangitāne O Wairarapa Inc </w:t>
            </w:r>
          </w:p>
        </w:tc>
        <w:tc>
          <w:tcPr>
            <w:tcW w:w="1355" w:type="dxa"/>
          </w:tcPr>
          <w:p w14:paraId="3163037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S168.0185</w:t>
            </w:r>
          </w:p>
        </w:tc>
        <w:tc>
          <w:tcPr>
            <w:tcW w:w="1158" w:type="dxa"/>
          </w:tcPr>
          <w:p w14:paraId="2434D58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3: Wellington Regional Land Transport Plan </w:t>
            </w:r>
            <w:r w:rsidRPr="0011437E">
              <w:rPr>
                <w:rFonts w:ascii="Arial" w:hAnsi="Arial" w:cs="Arial"/>
                <w:sz w:val="18"/>
                <w:szCs w:val="18"/>
              </w:rPr>
              <w:lastRenderedPageBreak/>
              <w:t>implementation</w:t>
            </w:r>
          </w:p>
        </w:tc>
        <w:tc>
          <w:tcPr>
            <w:tcW w:w="873" w:type="dxa"/>
          </w:tcPr>
          <w:p w14:paraId="19F0E84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4282" w:type="dxa"/>
          </w:tcPr>
          <w:p w14:paraId="4A0C8B4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specified timetable for commencing the process to amend the RLTP is supported.</w:t>
            </w:r>
          </w:p>
        </w:tc>
        <w:tc>
          <w:tcPr>
            <w:tcW w:w="5334" w:type="dxa"/>
          </w:tcPr>
          <w:p w14:paraId="5E48945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3B677CE0"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3B71EA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S11 Outdoor Bliss Heather Blissett</w:t>
            </w:r>
          </w:p>
        </w:tc>
        <w:tc>
          <w:tcPr>
            <w:tcW w:w="1355" w:type="dxa"/>
          </w:tcPr>
          <w:p w14:paraId="5320255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S11.010</w:t>
            </w:r>
          </w:p>
        </w:tc>
        <w:tc>
          <w:tcPr>
            <w:tcW w:w="1158" w:type="dxa"/>
          </w:tcPr>
          <w:p w14:paraId="3BB2B6B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52190E2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2641EA4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Let community be part of the solutions</w:t>
            </w:r>
          </w:p>
        </w:tc>
        <w:tc>
          <w:tcPr>
            <w:tcW w:w="5334" w:type="dxa"/>
          </w:tcPr>
          <w:p w14:paraId="49C5916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as follows: Method 4 Implementation:</w:t>
            </w:r>
            <w:r w:rsidRPr="0011437E">
              <w:rPr>
                <w:rFonts w:ascii="Arial" w:hAnsi="Arial" w:cs="Arial"/>
                <w:sz w:val="18"/>
                <w:szCs w:val="18"/>
              </w:rPr>
              <w:br/>
              <w:t>Wellington Regional Council and city and district Councils</w:t>
            </w:r>
            <w:r>
              <w:rPr>
                <w:rFonts w:ascii="Arial" w:hAnsi="Arial" w:cs="Arial"/>
                <w:b/>
              </w:rPr>
              <w:t xml:space="preserve"> and community</w:t>
            </w:r>
            <w:r>
              <w:br/>
              <w:t> </w:t>
            </w:r>
          </w:p>
        </w:tc>
      </w:tr>
      <w:tr w:rsidR="00A232DE" w:rsidRPr="0011437E" w14:paraId="7784D0BD"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C2E652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S30 Porirua City Council  </w:t>
            </w:r>
          </w:p>
        </w:tc>
        <w:tc>
          <w:tcPr>
            <w:tcW w:w="1355" w:type="dxa"/>
          </w:tcPr>
          <w:p w14:paraId="6AEB89D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S30.089</w:t>
            </w:r>
          </w:p>
        </w:tc>
        <w:tc>
          <w:tcPr>
            <w:tcW w:w="1158" w:type="dxa"/>
          </w:tcPr>
          <w:p w14:paraId="313003A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1A09BA7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282" w:type="dxa"/>
          </w:tcPr>
          <w:p w14:paraId="0243776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method to make consequential amendments in line with relief sought to restrict the application of policies to resource consents and notices of requirement</w:t>
            </w:r>
          </w:p>
        </w:tc>
        <w:tc>
          <w:tcPr>
            <w:tcW w:w="5334" w:type="dxa"/>
          </w:tcPr>
          <w:p w14:paraId="7148237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method to make consequential amendments in line with relief sought to restrict the application of policies to resource consents and notices of requirement </w:t>
            </w:r>
          </w:p>
        </w:tc>
      </w:tr>
      <w:tr w:rsidR="00A232DE" w:rsidRPr="0011437E" w14:paraId="21CB22A1"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D48CB0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S102 Te Tumu Paeroa | Office of the Māori Trustee </w:t>
            </w:r>
          </w:p>
        </w:tc>
        <w:tc>
          <w:tcPr>
            <w:tcW w:w="1355" w:type="dxa"/>
          </w:tcPr>
          <w:p w14:paraId="2CA1F32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S102.070</w:t>
            </w:r>
          </w:p>
        </w:tc>
        <w:tc>
          <w:tcPr>
            <w:tcW w:w="1158" w:type="dxa"/>
          </w:tcPr>
          <w:p w14:paraId="45BD38F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074002B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3DB5519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Generally supports the methods to implement for the 'Natural Hazards' chapter.</w:t>
            </w:r>
          </w:p>
        </w:tc>
        <w:tc>
          <w:tcPr>
            <w:tcW w:w="5334" w:type="dxa"/>
          </w:tcPr>
          <w:p w14:paraId="7008EF2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39BFD63D"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8FC395B"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S102 Te Tumu Paeroa | Office of </w:t>
            </w:r>
            <w:r w:rsidRPr="0011437E">
              <w:rPr>
                <w:rFonts w:ascii="Arial" w:hAnsi="Arial" w:cs="Arial"/>
                <w:sz w:val="18"/>
                <w:szCs w:val="18"/>
              </w:rPr>
              <w:lastRenderedPageBreak/>
              <w:t xml:space="preserve">the Māori Trustee </w:t>
            </w:r>
          </w:p>
        </w:tc>
        <w:tc>
          <w:tcPr>
            <w:tcW w:w="1355" w:type="dxa"/>
          </w:tcPr>
          <w:p w14:paraId="4F311AB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S102.084</w:t>
            </w:r>
          </w:p>
        </w:tc>
        <w:tc>
          <w:tcPr>
            <w:tcW w:w="1158" w:type="dxa"/>
          </w:tcPr>
          <w:p w14:paraId="3E94167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4: Consideration - resource </w:t>
            </w:r>
            <w:r w:rsidRPr="0011437E">
              <w:rPr>
                <w:rFonts w:ascii="Arial" w:hAnsi="Arial" w:cs="Arial"/>
                <w:sz w:val="18"/>
                <w:szCs w:val="18"/>
              </w:rPr>
              <w:lastRenderedPageBreak/>
              <w:t>consents, notices of requirement and when changing, varying or reviewing plans</w:t>
            </w:r>
          </w:p>
        </w:tc>
        <w:tc>
          <w:tcPr>
            <w:tcW w:w="873" w:type="dxa"/>
          </w:tcPr>
          <w:p w14:paraId="522DA08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4282" w:type="dxa"/>
          </w:tcPr>
          <w:p w14:paraId="3B742CB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Generally supports the methods to implement for the 'Coastal Environment' chapter.</w:t>
            </w:r>
          </w:p>
        </w:tc>
        <w:tc>
          <w:tcPr>
            <w:tcW w:w="5334" w:type="dxa"/>
          </w:tcPr>
          <w:p w14:paraId="72E441D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3AB23E6F"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F8AADEA"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S115 Hutt City Council </w:t>
            </w:r>
          </w:p>
        </w:tc>
        <w:tc>
          <w:tcPr>
            <w:tcW w:w="1355" w:type="dxa"/>
          </w:tcPr>
          <w:p w14:paraId="563EB5F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S115.093</w:t>
            </w:r>
          </w:p>
        </w:tc>
        <w:tc>
          <w:tcPr>
            <w:tcW w:w="1158" w:type="dxa"/>
          </w:tcPr>
          <w:p w14:paraId="441DA15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3FC2DE9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31E2473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method is appropriate if the policies listed are modified so that they are less prescriptive and less complicated, and repeated statements of higher order requirements of the RMA and national policy statements are removed or, modified to have a clear</w:t>
            </w:r>
            <w:r w:rsidRPr="0011437E">
              <w:rPr>
                <w:rFonts w:ascii="Arial" w:hAnsi="Arial" w:cs="Arial"/>
                <w:sz w:val="18"/>
                <w:szCs w:val="18"/>
              </w:rPr>
              <w:br/>
              <w:t>relevance from a regional perspective or interpretation</w:t>
            </w:r>
          </w:p>
        </w:tc>
        <w:tc>
          <w:tcPr>
            <w:tcW w:w="5334" w:type="dxa"/>
          </w:tcPr>
          <w:p w14:paraId="50D29BD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Consequential</w:t>
            </w:r>
            <w:r w:rsidRPr="0011437E">
              <w:rPr>
                <w:rFonts w:ascii="Arial" w:hAnsi="Arial" w:cs="Arial"/>
                <w:sz w:val="18"/>
                <w:szCs w:val="18"/>
              </w:rPr>
              <w:br/>
              <w:t>amendment to the list of policies to reflect</w:t>
            </w:r>
            <w:r w:rsidRPr="0011437E">
              <w:rPr>
                <w:rFonts w:ascii="Arial" w:hAnsi="Arial" w:cs="Arial"/>
                <w:sz w:val="18"/>
                <w:szCs w:val="18"/>
              </w:rPr>
              <w:br/>
              <w:t>policies where we seek</w:t>
            </w:r>
            <w:r w:rsidRPr="0011437E">
              <w:rPr>
                <w:rFonts w:ascii="Arial" w:hAnsi="Arial" w:cs="Arial"/>
                <w:sz w:val="18"/>
                <w:szCs w:val="18"/>
              </w:rPr>
              <w:br/>
              <w:t>deletion. </w:t>
            </w:r>
          </w:p>
        </w:tc>
      </w:tr>
      <w:tr w:rsidR="00A232DE" w:rsidRPr="0011437E" w14:paraId="782D6826"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311F74C"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S129 Waka Kotahi NZ Transport Agency </w:t>
            </w:r>
          </w:p>
        </w:tc>
        <w:tc>
          <w:tcPr>
            <w:tcW w:w="1355" w:type="dxa"/>
          </w:tcPr>
          <w:p w14:paraId="434909A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S129.032</w:t>
            </w:r>
          </w:p>
        </w:tc>
        <w:tc>
          <w:tcPr>
            <w:tcW w:w="1158" w:type="dxa"/>
          </w:tcPr>
          <w:p w14:paraId="4A0CFC7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6F3EE87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5B6887F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Supports this method as it provides clear direction to District and City Councils.</w:t>
            </w:r>
          </w:p>
        </w:tc>
        <w:tc>
          <w:tcPr>
            <w:tcW w:w="5334" w:type="dxa"/>
          </w:tcPr>
          <w:p w14:paraId="54345F0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2B357FFF"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0101824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S140 Wellington City Council (WCC) </w:t>
            </w:r>
          </w:p>
        </w:tc>
        <w:tc>
          <w:tcPr>
            <w:tcW w:w="1355" w:type="dxa"/>
          </w:tcPr>
          <w:p w14:paraId="31EEA24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S140.094</w:t>
            </w:r>
          </w:p>
        </w:tc>
        <w:tc>
          <w:tcPr>
            <w:tcW w:w="1158" w:type="dxa"/>
          </w:tcPr>
          <w:p w14:paraId="5A01CF4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4: Consideration - resource consents, notices of requirement and when changing, varying or </w:t>
            </w:r>
            <w:r w:rsidRPr="0011437E">
              <w:rPr>
                <w:rFonts w:ascii="Arial" w:hAnsi="Arial" w:cs="Arial"/>
                <w:sz w:val="18"/>
                <w:szCs w:val="18"/>
              </w:rPr>
              <w:lastRenderedPageBreak/>
              <w:t>reviewing plans</w:t>
            </w:r>
          </w:p>
        </w:tc>
        <w:tc>
          <w:tcPr>
            <w:tcW w:w="873" w:type="dxa"/>
          </w:tcPr>
          <w:p w14:paraId="1279762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4282" w:type="dxa"/>
          </w:tcPr>
          <w:p w14:paraId="58B6946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Update to reflect other relief sought by WCC.</w:t>
            </w:r>
          </w:p>
        </w:tc>
        <w:tc>
          <w:tcPr>
            <w:tcW w:w="5334" w:type="dxa"/>
          </w:tcPr>
          <w:p w14:paraId="6F6906C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Any relevant amendments to the list of policies to reflect policies where we seek deletion.</w:t>
            </w:r>
            <w:r w:rsidRPr="0011437E">
              <w:rPr>
                <w:rFonts w:ascii="Arial" w:hAnsi="Arial" w:cs="Arial"/>
                <w:sz w:val="18"/>
                <w:szCs w:val="18"/>
              </w:rPr>
              <w:br/>
              <w:t> </w:t>
            </w:r>
          </w:p>
        </w:tc>
      </w:tr>
      <w:tr w:rsidR="00A232DE" w:rsidRPr="0011437E" w14:paraId="4D4E7790"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E7C179A"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55" w:type="dxa"/>
          </w:tcPr>
          <w:p w14:paraId="39A2511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S147.086</w:t>
            </w:r>
          </w:p>
        </w:tc>
        <w:tc>
          <w:tcPr>
            <w:tcW w:w="1158" w:type="dxa"/>
          </w:tcPr>
          <w:p w14:paraId="16F7760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2E77FBD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4C04D59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In general supports the amendment of district plans to implement policies after the policies listed here have been amended or agreed on.</w:t>
            </w:r>
          </w:p>
        </w:tc>
        <w:tc>
          <w:tcPr>
            <w:tcW w:w="5334" w:type="dxa"/>
          </w:tcPr>
          <w:p w14:paraId="70822EE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the following policies prior to integrating into district plans:</w:t>
            </w:r>
            <w:r w:rsidRPr="0011437E">
              <w:rPr>
                <w:rFonts w:ascii="Arial" w:hAnsi="Arial" w:cs="Arial"/>
                <w:sz w:val="18"/>
                <w:szCs w:val="18"/>
              </w:rPr>
              <w:br/>
              <w:t>Policy 40, Policy 47, Policy 52, Policy IE.1.</w:t>
            </w:r>
            <w:r w:rsidRPr="0011437E">
              <w:rPr>
                <w:rFonts w:ascii="Arial" w:hAnsi="Arial" w:cs="Arial"/>
                <w:sz w:val="18"/>
                <w:szCs w:val="18"/>
              </w:rPr>
              <w:br/>
              <w:t> </w:t>
            </w:r>
          </w:p>
        </w:tc>
      </w:tr>
      <w:tr w:rsidR="00A232DE" w:rsidRPr="0011437E" w14:paraId="1E55072A"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564D9DC3"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S163 Wairarapa Federated Farmers </w:t>
            </w:r>
          </w:p>
        </w:tc>
        <w:tc>
          <w:tcPr>
            <w:tcW w:w="1355" w:type="dxa"/>
          </w:tcPr>
          <w:p w14:paraId="7AAA227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S163.088</w:t>
            </w:r>
          </w:p>
        </w:tc>
        <w:tc>
          <w:tcPr>
            <w:tcW w:w="1158" w:type="dxa"/>
          </w:tcPr>
          <w:p w14:paraId="45AD186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1C8DC22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282" w:type="dxa"/>
          </w:tcPr>
          <w:p w14:paraId="055EBF8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Defer to the 2024 RPS review.</w:t>
            </w:r>
          </w:p>
        </w:tc>
        <w:tc>
          <w:tcPr>
            <w:tcW w:w="5334" w:type="dxa"/>
          </w:tcPr>
          <w:p w14:paraId="1EE6FBC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That the amendments to Method 4 be deleted.</w:t>
            </w:r>
            <w:r w:rsidRPr="0011437E">
              <w:rPr>
                <w:rFonts w:ascii="Arial" w:hAnsi="Arial" w:cs="Arial"/>
                <w:sz w:val="18"/>
                <w:szCs w:val="18"/>
              </w:rPr>
              <w:br/>
            </w:r>
            <w:r w:rsidRPr="0011437E">
              <w:rPr>
                <w:rFonts w:ascii="Arial" w:hAnsi="Arial" w:cs="Arial"/>
                <w:sz w:val="18"/>
                <w:szCs w:val="18"/>
              </w:rPr>
              <w:br/>
            </w:r>
            <w:r w:rsidRPr="0011437E">
              <w:rPr>
                <w:rFonts w:ascii="Arial" w:hAnsi="Arial" w:cs="Arial"/>
                <w:sz w:val="18"/>
                <w:szCs w:val="18"/>
              </w:rPr>
              <w:br/>
              <w:t>Delete the FW icon.</w:t>
            </w:r>
            <w:r w:rsidRPr="0011437E">
              <w:rPr>
                <w:rFonts w:ascii="Arial" w:hAnsi="Arial" w:cs="Arial"/>
                <w:sz w:val="18"/>
                <w:szCs w:val="18"/>
              </w:rPr>
              <w:br/>
              <w:t> </w:t>
            </w:r>
          </w:p>
        </w:tc>
      </w:tr>
      <w:tr w:rsidR="00A232DE" w:rsidRPr="0011437E" w14:paraId="0BE32375"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F0086E3"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S165 Royal Forest and Bird Protection Society of New Zealand Inc. (Forest &amp; Bird) </w:t>
            </w:r>
          </w:p>
        </w:tc>
        <w:tc>
          <w:tcPr>
            <w:tcW w:w="1355" w:type="dxa"/>
          </w:tcPr>
          <w:p w14:paraId="124387E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S165.095</w:t>
            </w:r>
          </w:p>
        </w:tc>
        <w:tc>
          <w:tcPr>
            <w:tcW w:w="1158" w:type="dxa"/>
          </w:tcPr>
          <w:p w14:paraId="00CF6D2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309B999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5C60B5B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34" w:type="dxa"/>
          </w:tcPr>
          <w:p w14:paraId="0528DE4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w:t>
            </w:r>
            <w:r w:rsidRPr="0011437E">
              <w:rPr>
                <w:rFonts w:ascii="Arial" w:hAnsi="Arial" w:cs="Arial"/>
                <w:sz w:val="18"/>
                <w:szCs w:val="18"/>
              </w:rPr>
              <w:br/>
              <w:t> </w:t>
            </w:r>
          </w:p>
        </w:tc>
      </w:tr>
      <w:tr w:rsidR="00A232DE" w:rsidRPr="0011437E" w14:paraId="5CA0ED38"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3D3E9B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S167 Taranaki Whānui </w:t>
            </w:r>
          </w:p>
        </w:tc>
        <w:tc>
          <w:tcPr>
            <w:tcW w:w="1355" w:type="dxa"/>
          </w:tcPr>
          <w:p w14:paraId="13B8E8E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S167.0139</w:t>
            </w:r>
          </w:p>
        </w:tc>
        <w:tc>
          <w:tcPr>
            <w:tcW w:w="1158" w:type="dxa"/>
          </w:tcPr>
          <w:p w14:paraId="561858D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4: Consideration - resource </w:t>
            </w:r>
            <w:r w:rsidRPr="0011437E">
              <w:rPr>
                <w:rFonts w:ascii="Arial" w:hAnsi="Arial" w:cs="Arial"/>
                <w:sz w:val="18"/>
                <w:szCs w:val="18"/>
              </w:rPr>
              <w:lastRenderedPageBreak/>
              <w:t>consents, notices of requirement and when changing, varying or reviewing plans</w:t>
            </w:r>
          </w:p>
        </w:tc>
        <w:tc>
          <w:tcPr>
            <w:tcW w:w="873" w:type="dxa"/>
          </w:tcPr>
          <w:p w14:paraId="7F15D2F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4282" w:type="dxa"/>
          </w:tcPr>
          <w:p w14:paraId="034B9F9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Taranaki Whānui supports the inclusion of this method.</w:t>
            </w:r>
          </w:p>
        </w:tc>
        <w:tc>
          <w:tcPr>
            <w:tcW w:w="5334" w:type="dxa"/>
          </w:tcPr>
          <w:p w14:paraId="0736CE9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02DBAF7F"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4B9772B"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S168 Rangitāne O Wairarapa Inc </w:t>
            </w:r>
          </w:p>
        </w:tc>
        <w:tc>
          <w:tcPr>
            <w:tcW w:w="1355" w:type="dxa"/>
          </w:tcPr>
          <w:p w14:paraId="7A1D848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S168.0186</w:t>
            </w:r>
          </w:p>
        </w:tc>
        <w:tc>
          <w:tcPr>
            <w:tcW w:w="1158" w:type="dxa"/>
          </w:tcPr>
          <w:p w14:paraId="4F4EE6A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4: Consideration - resource consents, notices of requirement and when changing, varying or reviewing plans</w:t>
            </w:r>
          </w:p>
        </w:tc>
        <w:tc>
          <w:tcPr>
            <w:tcW w:w="873" w:type="dxa"/>
          </w:tcPr>
          <w:p w14:paraId="20F2AF9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19470C6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Key policies relating to issues important to mana whenua / tangata whenua are explicitly covered in the method. The requirement to implement the range of policies is supported.</w:t>
            </w:r>
          </w:p>
        </w:tc>
        <w:tc>
          <w:tcPr>
            <w:tcW w:w="5334" w:type="dxa"/>
          </w:tcPr>
          <w:p w14:paraId="55B4598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4B21F6DD"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0E83CA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S30 Porirua City Council  </w:t>
            </w:r>
          </w:p>
        </w:tc>
        <w:tc>
          <w:tcPr>
            <w:tcW w:w="1355" w:type="dxa"/>
          </w:tcPr>
          <w:p w14:paraId="286ACDC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S30.090</w:t>
            </w:r>
          </w:p>
        </w:tc>
        <w:tc>
          <w:tcPr>
            <w:tcW w:w="1158" w:type="dxa"/>
          </w:tcPr>
          <w:p w14:paraId="7764BBB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5: Allocation of responsibilities</w:t>
            </w:r>
          </w:p>
        </w:tc>
        <w:tc>
          <w:tcPr>
            <w:tcW w:w="873" w:type="dxa"/>
          </w:tcPr>
          <w:p w14:paraId="6E837D0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282" w:type="dxa"/>
          </w:tcPr>
          <w:p w14:paraId="456166D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This method does not make sense. It does not allocate responsibilities and is unnecessary.</w:t>
            </w:r>
          </w:p>
        </w:tc>
        <w:tc>
          <w:tcPr>
            <w:tcW w:w="5334" w:type="dxa"/>
          </w:tcPr>
          <w:p w14:paraId="44B411F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Delete method.</w:t>
            </w:r>
            <w:r w:rsidRPr="0011437E">
              <w:rPr>
                <w:rFonts w:ascii="Arial" w:hAnsi="Arial" w:cs="Arial"/>
                <w:sz w:val="18"/>
                <w:szCs w:val="18"/>
              </w:rPr>
              <w:br/>
              <w:t> </w:t>
            </w:r>
          </w:p>
        </w:tc>
      </w:tr>
      <w:tr w:rsidR="00A232DE" w:rsidRPr="0011437E" w14:paraId="17249D3E"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10856B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S102 Te Tumu Paeroa | Office of the Māori Trustee </w:t>
            </w:r>
          </w:p>
        </w:tc>
        <w:tc>
          <w:tcPr>
            <w:tcW w:w="1355" w:type="dxa"/>
          </w:tcPr>
          <w:p w14:paraId="67F3DA4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S102.073</w:t>
            </w:r>
          </w:p>
        </w:tc>
        <w:tc>
          <w:tcPr>
            <w:tcW w:w="1158" w:type="dxa"/>
          </w:tcPr>
          <w:p w14:paraId="285D0D8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5: Allocation of responsibilities</w:t>
            </w:r>
          </w:p>
        </w:tc>
        <w:tc>
          <w:tcPr>
            <w:tcW w:w="873" w:type="dxa"/>
          </w:tcPr>
          <w:p w14:paraId="14DDE84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2025215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Generally supports the methods to implement for the 'Natural Hazards' chapter.</w:t>
            </w:r>
          </w:p>
        </w:tc>
        <w:tc>
          <w:tcPr>
            <w:tcW w:w="5334" w:type="dxa"/>
          </w:tcPr>
          <w:p w14:paraId="4B7D0B3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0B802689"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2B11FF3"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55" w:type="dxa"/>
          </w:tcPr>
          <w:p w14:paraId="1023919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S147.087</w:t>
            </w:r>
          </w:p>
        </w:tc>
        <w:tc>
          <w:tcPr>
            <w:tcW w:w="1158" w:type="dxa"/>
          </w:tcPr>
          <w:p w14:paraId="6A2A957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5: Allocation of responsibilities</w:t>
            </w:r>
          </w:p>
        </w:tc>
        <w:tc>
          <w:tcPr>
            <w:tcW w:w="873" w:type="dxa"/>
          </w:tcPr>
          <w:p w14:paraId="7EB4C82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786E61E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Necessary to implement the NPS-FM.</w:t>
            </w:r>
          </w:p>
        </w:tc>
        <w:tc>
          <w:tcPr>
            <w:tcW w:w="5334" w:type="dxa"/>
          </w:tcPr>
          <w:p w14:paraId="3DAF5C9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2BD70603"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E531E26"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S165 Royal Forest and Bird Protection Society of </w:t>
            </w:r>
            <w:r w:rsidRPr="0011437E">
              <w:rPr>
                <w:rFonts w:ascii="Arial" w:hAnsi="Arial" w:cs="Arial"/>
                <w:sz w:val="18"/>
                <w:szCs w:val="18"/>
              </w:rPr>
              <w:lastRenderedPageBreak/>
              <w:t xml:space="preserve">New Zealand Inc. (Forest &amp; Bird) </w:t>
            </w:r>
          </w:p>
        </w:tc>
        <w:tc>
          <w:tcPr>
            <w:tcW w:w="1355" w:type="dxa"/>
          </w:tcPr>
          <w:p w14:paraId="65B8837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S165.096</w:t>
            </w:r>
          </w:p>
        </w:tc>
        <w:tc>
          <w:tcPr>
            <w:tcW w:w="1158" w:type="dxa"/>
          </w:tcPr>
          <w:p w14:paraId="6381EC2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5: Allocation of responsibilities</w:t>
            </w:r>
          </w:p>
        </w:tc>
        <w:tc>
          <w:tcPr>
            <w:tcW w:w="873" w:type="dxa"/>
          </w:tcPr>
          <w:p w14:paraId="0A4D931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5D10F46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34" w:type="dxa"/>
          </w:tcPr>
          <w:p w14:paraId="6E7C265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w:t>
            </w:r>
            <w:r w:rsidRPr="0011437E">
              <w:rPr>
                <w:rFonts w:ascii="Arial" w:hAnsi="Arial" w:cs="Arial"/>
                <w:sz w:val="18"/>
                <w:szCs w:val="18"/>
              </w:rPr>
              <w:br/>
              <w:t> </w:t>
            </w:r>
          </w:p>
        </w:tc>
      </w:tr>
      <w:tr w:rsidR="00A232DE" w:rsidRPr="0011437E" w14:paraId="5144A6B6"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30E5C0E"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S167 Taranaki Whānui </w:t>
            </w:r>
          </w:p>
        </w:tc>
        <w:tc>
          <w:tcPr>
            <w:tcW w:w="1355" w:type="dxa"/>
          </w:tcPr>
          <w:p w14:paraId="08EE836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S167.0140</w:t>
            </w:r>
          </w:p>
        </w:tc>
        <w:tc>
          <w:tcPr>
            <w:tcW w:w="1158" w:type="dxa"/>
          </w:tcPr>
          <w:p w14:paraId="390EA4C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Method 5: Allocation of responsibilities</w:t>
            </w:r>
          </w:p>
        </w:tc>
        <w:tc>
          <w:tcPr>
            <w:tcW w:w="873" w:type="dxa"/>
          </w:tcPr>
          <w:p w14:paraId="01D37E4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29A0D89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Taranaki Whānui notes the intent of Policy FW.6 outlining the allocation of responsibilities for land use and development controls for freshwater between Wellington Regional Council and territorial authorities.</w:t>
            </w:r>
            <w:r w:rsidRPr="0011437E">
              <w:rPr>
                <w:rFonts w:ascii="Arial" w:hAnsi="Arial" w:cs="Arial"/>
                <w:sz w:val="18"/>
                <w:szCs w:val="18"/>
              </w:rPr>
              <w:br/>
              <w:t>We have provided a draft Freshwater Vision and Te Mana o te Wai statement that will explicitly assist in establishing the policy framework for Taranaki Whānui involvement in through the freshwater planning instrument and therefore implementation.</w:t>
            </w:r>
          </w:p>
        </w:tc>
        <w:tc>
          <w:tcPr>
            <w:tcW w:w="5334" w:type="dxa"/>
          </w:tcPr>
          <w:p w14:paraId="1AA1EE6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A232DE" w:rsidRPr="0011437E" w14:paraId="239280A6"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51BC6929"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S128 Horticulture New Zealand </w:t>
            </w:r>
          </w:p>
        </w:tc>
        <w:tc>
          <w:tcPr>
            <w:tcW w:w="1355" w:type="dxa"/>
          </w:tcPr>
          <w:p w14:paraId="441B29F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S128.055</w:t>
            </w:r>
          </w:p>
        </w:tc>
        <w:tc>
          <w:tcPr>
            <w:tcW w:w="1158" w:type="dxa"/>
          </w:tcPr>
          <w:p w14:paraId="3451CF1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4182F2E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57ACAB28"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the development of Freshwater Action Plans as part of the NPSFM 2020 approach, this should also involve communities.</w:t>
            </w:r>
          </w:p>
        </w:tc>
        <w:tc>
          <w:tcPr>
            <w:tcW w:w="5334" w:type="dxa"/>
          </w:tcPr>
          <w:p w14:paraId="162EFC5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as follows:Prepare Freshwater Action Plans in partnership with mana whenua / tangata whenua, and </w:t>
            </w:r>
            <w:r>
              <w:rPr>
                <w:rFonts w:ascii="Arial" w:hAnsi="Arial" w:cs="Arial"/>
                <w:b/>
              </w:rPr>
              <w:t xml:space="preserve">with communities </w:t>
            </w:r>
            <w:r>
              <w:t>as required by the NPS-FM to contribute to achieving the target attribute states set in the NRP,...</w:t>
            </w:r>
            <w:r>
              <w:br/>
            </w:r>
            <w:r>
              <w:br/>
              <w:t> </w:t>
            </w:r>
          </w:p>
        </w:tc>
      </w:tr>
      <w:tr w:rsidR="00A232DE" w:rsidRPr="0011437E" w14:paraId="4BE7B3FD"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465E363F"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S144  Sustainable Wairarapa  Inc  </w:t>
            </w:r>
          </w:p>
        </w:tc>
        <w:tc>
          <w:tcPr>
            <w:tcW w:w="1355" w:type="dxa"/>
          </w:tcPr>
          <w:p w14:paraId="2753F5D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S144.049</w:t>
            </w:r>
          </w:p>
        </w:tc>
        <w:tc>
          <w:tcPr>
            <w:tcW w:w="1158" w:type="dxa"/>
          </w:tcPr>
          <w:p w14:paraId="731AEAB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6AAB5E1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4B46BDF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the date set for these plans.</w:t>
            </w:r>
          </w:p>
        </w:tc>
        <w:tc>
          <w:tcPr>
            <w:tcW w:w="5334" w:type="dxa"/>
          </w:tcPr>
          <w:p w14:paraId="73F2FD2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as notified. </w:t>
            </w:r>
            <w:r w:rsidRPr="0011437E">
              <w:rPr>
                <w:rFonts w:ascii="Arial" w:hAnsi="Arial" w:cs="Arial"/>
                <w:sz w:val="18"/>
                <w:szCs w:val="18"/>
              </w:rPr>
              <w:br/>
              <w:t> </w:t>
            </w:r>
          </w:p>
        </w:tc>
      </w:tr>
      <w:tr w:rsidR="00A232DE" w:rsidRPr="0011437E" w14:paraId="6469593D"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12F0C88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S147 Wellington Fish and Game Council  </w:t>
            </w:r>
          </w:p>
        </w:tc>
        <w:tc>
          <w:tcPr>
            <w:tcW w:w="1355" w:type="dxa"/>
          </w:tcPr>
          <w:p w14:paraId="3A48BD4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S147.088</w:t>
            </w:r>
          </w:p>
        </w:tc>
        <w:tc>
          <w:tcPr>
            <w:tcW w:w="1158" w:type="dxa"/>
          </w:tcPr>
          <w:p w14:paraId="69A3D86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4DB0D19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1364505D"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Disappointed that implementation of the NOF contained in Part 3, Subpart 2, of the NPS-FM has been deferred. Without full implementation of this framework Proposed Change 1 fails to give effect to this central element of the NPS-FM, which is urgently required to avoid adverse effects on the environment.</w:t>
            </w:r>
            <w:r w:rsidRPr="0011437E">
              <w:rPr>
                <w:rFonts w:ascii="Arial" w:hAnsi="Arial" w:cs="Arial"/>
                <w:sz w:val="18"/>
                <w:szCs w:val="18"/>
              </w:rPr>
              <w:br/>
              <w:t>Considers that Freshwater Action Plans must be adopted as a matter of priority and absolutely no later than December 2026 deadline proposed.</w:t>
            </w:r>
            <w:r w:rsidRPr="0011437E">
              <w:rPr>
                <w:rFonts w:ascii="Arial" w:hAnsi="Arial" w:cs="Arial"/>
                <w:sz w:val="18"/>
                <w:szCs w:val="18"/>
              </w:rPr>
              <w:br/>
              <w:t>Further supports the intention to ensure that mana whenua/tangata whenua values are properly recognised and provided for in the Action Plans and their role as kaitiaki is supported.</w:t>
            </w:r>
            <w:r w:rsidRPr="0011437E">
              <w:rPr>
                <w:rFonts w:ascii="Arial" w:hAnsi="Arial" w:cs="Arial"/>
                <w:sz w:val="18"/>
                <w:szCs w:val="18"/>
              </w:rPr>
              <w:br/>
            </w:r>
            <w:r w:rsidRPr="0011437E">
              <w:rPr>
                <w:rFonts w:ascii="Arial" w:hAnsi="Arial" w:cs="Arial"/>
                <w:sz w:val="18"/>
                <w:szCs w:val="18"/>
              </w:rPr>
              <w:lastRenderedPageBreak/>
              <w:t>At the same time, however, in order to give full effect to the NPS-FM, those values must be considered alongside other recognised values and achieved in partnership with statutory managers of freshwater species and their habitats. The suggested amendment is intended to achieve this outcome.</w:t>
            </w:r>
          </w:p>
        </w:tc>
        <w:tc>
          <w:tcPr>
            <w:tcW w:w="5334" w:type="dxa"/>
          </w:tcPr>
          <w:p w14:paraId="0A6BCB7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Amend.</w:t>
            </w:r>
            <w:r w:rsidRPr="0011437E">
              <w:rPr>
                <w:rFonts w:ascii="Arial" w:hAnsi="Arial" w:cs="Arial"/>
                <w:sz w:val="18"/>
                <w:szCs w:val="18"/>
              </w:rPr>
              <w:br/>
              <w:t xml:space="preserve">Prepare Freshwater Action Plans in partnership with mana whenua / tangata whenua </w:t>
            </w:r>
            <w:r>
              <w:rPr>
                <w:rFonts w:ascii="Arial" w:hAnsi="Arial" w:cs="Arial"/>
                <w:b/>
              </w:rPr>
              <w:t>and stakeholders, and in consultation with landowners and community,</w:t>
            </w:r>
            <w:r>
              <w:t xml:space="preserve"> as required by the NPS-FM to contribute to achieving the target attribute states set in the NRP, for each whaitua no later than December 2026. [etc]..."</w:t>
            </w:r>
            <w:r>
              <w:br/>
              <w:t> </w:t>
            </w:r>
          </w:p>
        </w:tc>
      </w:tr>
      <w:tr w:rsidR="00A232DE" w:rsidRPr="0011437E" w14:paraId="2BFC019D"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38915E2A"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S163 Wairarapa Federated Farmers </w:t>
            </w:r>
          </w:p>
        </w:tc>
        <w:tc>
          <w:tcPr>
            <w:tcW w:w="1355" w:type="dxa"/>
          </w:tcPr>
          <w:p w14:paraId="3BD6456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S163.089</w:t>
            </w:r>
          </w:p>
        </w:tc>
        <w:tc>
          <w:tcPr>
            <w:tcW w:w="1158" w:type="dxa"/>
          </w:tcPr>
          <w:p w14:paraId="02FB6BA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025EBD1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4282" w:type="dxa"/>
          </w:tcPr>
          <w:p w14:paraId="0787FA4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Defer to the upcoming NRP changes in 2023 whaitua) and 2024 (rural whaitua).</w:t>
            </w:r>
          </w:p>
        </w:tc>
        <w:tc>
          <w:tcPr>
            <w:tcW w:w="5334" w:type="dxa"/>
          </w:tcPr>
          <w:p w14:paraId="0698B8F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That Method FW.1 be deleted</w:t>
            </w:r>
            <w:r w:rsidRPr="0011437E">
              <w:rPr>
                <w:rFonts w:ascii="Arial" w:hAnsi="Arial" w:cs="Arial"/>
                <w:sz w:val="18"/>
                <w:szCs w:val="18"/>
              </w:rPr>
              <w:br/>
              <w:t> </w:t>
            </w:r>
          </w:p>
        </w:tc>
      </w:tr>
      <w:tr w:rsidR="00A232DE" w:rsidRPr="0011437E" w14:paraId="0A9A9ACD"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DD6A251"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S165 Royal Forest and Bird Protection Society of New Zealand Inc. (Forest &amp; Bird) </w:t>
            </w:r>
          </w:p>
        </w:tc>
        <w:tc>
          <w:tcPr>
            <w:tcW w:w="1355" w:type="dxa"/>
          </w:tcPr>
          <w:p w14:paraId="2E1DF397"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S165.097</w:t>
            </w:r>
          </w:p>
        </w:tc>
        <w:tc>
          <w:tcPr>
            <w:tcW w:w="1158" w:type="dxa"/>
          </w:tcPr>
          <w:p w14:paraId="76F0667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7F97BAE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4282" w:type="dxa"/>
          </w:tcPr>
          <w:p w14:paraId="7AE9D11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334" w:type="dxa"/>
          </w:tcPr>
          <w:p w14:paraId="77080AF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w:t>
            </w:r>
            <w:r w:rsidRPr="0011437E">
              <w:rPr>
                <w:rFonts w:ascii="Arial" w:hAnsi="Arial" w:cs="Arial"/>
                <w:sz w:val="18"/>
                <w:szCs w:val="18"/>
              </w:rPr>
              <w:br/>
              <w:t> </w:t>
            </w:r>
          </w:p>
        </w:tc>
      </w:tr>
      <w:tr w:rsidR="00A232DE" w:rsidRPr="0011437E" w14:paraId="3B6A69D1"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68316CEF"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S168 Rangitāne O Wairarapa Inc </w:t>
            </w:r>
          </w:p>
        </w:tc>
        <w:tc>
          <w:tcPr>
            <w:tcW w:w="1355" w:type="dxa"/>
          </w:tcPr>
          <w:p w14:paraId="4B2CEB1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S168.064</w:t>
            </w:r>
          </w:p>
        </w:tc>
        <w:tc>
          <w:tcPr>
            <w:tcW w:w="1158" w:type="dxa"/>
          </w:tcPr>
          <w:p w14:paraId="3AF708E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321CA84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106FC3DF"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Rangitāne o Wairarapa support this method.</w:t>
            </w:r>
          </w:p>
        </w:tc>
        <w:tc>
          <w:tcPr>
            <w:tcW w:w="5334" w:type="dxa"/>
          </w:tcPr>
          <w:p w14:paraId="2AB9F7F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the method so that the second to last and last sentences do not contradict each other. </w:t>
            </w:r>
            <w:r w:rsidRPr="0011437E">
              <w:rPr>
                <w:rFonts w:ascii="Arial" w:hAnsi="Arial" w:cs="Arial"/>
                <w:sz w:val="18"/>
                <w:szCs w:val="18"/>
              </w:rPr>
              <w:br/>
              <w:t> </w:t>
            </w:r>
          </w:p>
        </w:tc>
      </w:tr>
      <w:tr w:rsidR="00A232DE" w:rsidRPr="0011437E" w14:paraId="0CD9DB77"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7C6A3B68"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S170 Te Rūnanga o Toa Rangatira </w:t>
            </w:r>
          </w:p>
        </w:tc>
        <w:tc>
          <w:tcPr>
            <w:tcW w:w="1355" w:type="dxa"/>
          </w:tcPr>
          <w:p w14:paraId="127605B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S170.069</w:t>
            </w:r>
          </w:p>
        </w:tc>
        <w:tc>
          <w:tcPr>
            <w:tcW w:w="1158" w:type="dxa"/>
          </w:tcPr>
          <w:p w14:paraId="6155C070"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31C47E5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282" w:type="dxa"/>
          </w:tcPr>
          <w:p w14:paraId="5A2F16BC"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As a method, it does not say much about the involvement of Tangata Whenua. This could be something that Tangata Whenua would want to co-design.</w:t>
            </w:r>
          </w:p>
        </w:tc>
        <w:tc>
          <w:tcPr>
            <w:tcW w:w="5334" w:type="dxa"/>
          </w:tcPr>
          <w:p w14:paraId="5B88094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the provision to allow for co-design from tangata whenua. </w:t>
            </w:r>
            <w:r w:rsidRPr="0011437E">
              <w:rPr>
                <w:rFonts w:ascii="Arial" w:hAnsi="Arial" w:cs="Arial"/>
                <w:sz w:val="18"/>
                <w:szCs w:val="18"/>
              </w:rPr>
              <w:br/>
              <w:t> </w:t>
            </w:r>
          </w:p>
        </w:tc>
      </w:tr>
      <w:tr w:rsidR="00A232DE" w:rsidRPr="0011437E" w14:paraId="0DF9339F"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1CC52DD0"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S170 Te Rūnanga o Toa Rangatira </w:t>
            </w:r>
          </w:p>
        </w:tc>
        <w:tc>
          <w:tcPr>
            <w:tcW w:w="1355" w:type="dxa"/>
          </w:tcPr>
          <w:p w14:paraId="537B464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S170.070</w:t>
            </w:r>
          </w:p>
        </w:tc>
        <w:tc>
          <w:tcPr>
            <w:tcW w:w="1158" w:type="dxa"/>
          </w:tcPr>
          <w:p w14:paraId="563EAA5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3D18ECF9"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 / Neutral</w:t>
            </w:r>
          </w:p>
        </w:tc>
        <w:tc>
          <w:tcPr>
            <w:tcW w:w="4282" w:type="dxa"/>
          </w:tcPr>
          <w:p w14:paraId="0047D67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It is not clear what role Tangata Whenua has in this process.</w:t>
            </w:r>
          </w:p>
        </w:tc>
        <w:tc>
          <w:tcPr>
            <w:tcW w:w="5334" w:type="dxa"/>
          </w:tcPr>
          <w:p w14:paraId="5EFC3E9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the provision to clarify role of tangata whenua in this process. </w:t>
            </w:r>
            <w:r w:rsidRPr="0011437E">
              <w:rPr>
                <w:rFonts w:ascii="Arial" w:hAnsi="Arial" w:cs="Arial"/>
                <w:sz w:val="18"/>
                <w:szCs w:val="18"/>
              </w:rPr>
              <w:br/>
              <w:t> </w:t>
            </w:r>
          </w:p>
        </w:tc>
      </w:tr>
      <w:tr w:rsidR="00A232DE" w:rsidRPr="0011437E" w14:paraId="05779394"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2C3E0EB0"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t xml:space="preserve"> S131 Ātiawa ki Whakarongotai </w:t>
            </w:r>
            <w:r w:rsidRPr="0011437E">
              <w:rPr>
                <w:rFonts w:ascii="Arial" w:hAnsi="Arial" w:cs="Arial"/>
                <w:sz w:val="18"/>
                <w:szCs w:val="18"/>
              </w:rPr>
              <w:lastRenderedPageBreak/>
              <w:t xml:space="preserve">Charitable Trust </w:t>
            </w:r>
          </w:p>
        </w:tc>
        <w:tc>
          <w:tcPr>
            <w:tcW w:w="1355" w:type="dxa"/>
          </w:tcPr>
          <w:p w14:paraId="63C64B0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S131.0117</w:t>
            </w:r>
          </w:p>
        </w:tc>
        <w:tc>
          <w:tcPr>
            <w:tcW w:w="1158" w:type="dxa"/>
          </w:tcPr>
          <w:p w14:paraId="7C9D85B6"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w:t>
            </w:r>
            <w:r w:rsidRPr="0011437E">
              <w:rPr>
                <w:rFonts w:ascii="Arial" w:hAnsi="Arial" w:cs="Arial"/>
                <w:sz w:val="18"/>
                <w:szCs w:val="18"/>
              </w:rPr>
              <w:lastRenderedPageBreak/>
              <w:t xml:space="preserve">Action Plans </w:t>
            </w:r>
          </w:p>
        </w:tc>
        <w:tc>
          <w:tcPr>
            <w:tcW w:w="873" w:type="dxa"/>
          </w:tcPr>
          <w:p w14:paraId="421F80EB"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4282" w:type="dxa"/>
          </w:tcPr>
          <w:p w14:paraId="4DA17D21"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Ātiawa support the preparation of freshwater action plans, in accordance</w:t>
            </w:r>
            <w:r w:rsidRPr="0011437E">
              <w:rPr>
                <w:rFonts w:ascii="Arial" w:hAnsi="Arial" w:cs="Arial"/>
                <w:sz w:val="18"/>
                <w:szCs w:val="18"/>
              </w:rPr>
              <w:br/>
              <w:t xml:space="preserve">with the NPS-FM. Ātiawa also support mana whenua partnering with Regional Council to </w:t>
            </w:r>
            <w:r w:rsidRPr="0011437E">
              <w:rPr>
                <w:rFonts w:ascii="Arial" w:hAnsi="Arial" w:cs="Arial"/>
                <w:sz w:val="18"/>
                <w:szCs w:val="18"/>
              </w:rPr>
              <w:lastRenderedPageBreak/>
              <w:t>prepare freshwater action plans. Ātiawa seek that this</w:t>
            </w:r>
            <w:r w:rsidRPr="0011437E">
              <w:rPr>
                <w:rFonts w:ascii="Arial" w:hAnsi="Arial" w:cs="Arial"/>
                <w:sz w:val="18"/>
                <w:szCs w:val="18"/>
              </w:rPr>
              <w:br/>
              <w:t>partnership model is enabled through funding/resourcing.</w:t>
            </w:r>
            <w:r w:rsidRPr="0011437E">
              <w:rPr>
                <w:rFonts w:ascii="Arial" w:hAnsi="Arial" w:cs="Arial"/>
                <w:sz w:val="18"/>
                <w:szCs w:val="18"/>
              </w:rPr>
              <w:br/>
              <w:t>It is not clear when a freshwater action plan would not be required as part of</w:t>
            </w:r>
            <w:r w:rsidRPr="0011437E">
              <w:rPr>
                <w:rFonts w:ascii="Arial" w:hAnsi="Arial" w:cs="Arial"/>
                <w:sz w:val="18"/>
                <w:szCs w:val="18"/>
              </w:rPr>
              <w:br/>
              <w:t>the NPS-FM which sets out the framework for all freshwater management.</w:t>
            </w:r>
            <w:r w:rsidRPr="0011437E">
              <w:rPr>
                <w:rFonts w:ascii="Arial" w:hAnsi="Arial" w:cs="Arial"/>
                <w:sz w:val="18"/>
                <w:szCs w:val="18"/>
              </w:rPr>
              <w:br/>
              <w:t>Ātiawa seek minor changes in keeping with the NPS-FM text and a deletion</w:t>
            </w:r>
            <w:r w:rsidRPr="0011437E">
              <w:rPr>
                <w:rFonts w:ascii="Arial" w:hAnsi="Arial" w:cs="Arial"/>
                <w:sz w:val="18"/>
                <w:szCs w:val="18"/>
              </w:rPr>
              <w:br/>
              <w:t>of the last sentence which seems to be redundant (all freshwater</w:t>
            </w:r>
            <w:r w:rsidRPr="0011437E">
              <w:rPr>
                <w:rFonts w:ascii="Arial" w:hAnsi="Arial" w:cs="Arial"/>
                <w:sz w:val="18"/>
                <w:szCs w:val="18"/>
              </w:rPr>
              <w:br/>
              <w:t>management must be in accordance with the NPS-FM).</w:t>
            </w:r>
          </w:p>
        </w:tc>
        <w:tc>
          <w:tcPr>
            <w:tcW w:w="5334" w:type="dxa"/>
          </w:tcPr>
          <w:p w14:paraId="474A38F3"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 xml:space="preserve">Prepare Freshwater Action Plans in partnership with mana whenua / tangata whenua, as required by the NPS-FM to contribute to achieving the target attribute states set in the NRP, for each whaitua no later than December 2026. </w:t>
            </w:r>
            <w:r>
              <w:rPr>
                <w:rFonts w:ascii="Arial" w:hAnsi="Arial" w:cs="Arial"/>
                <w:b/>
              </w:rPr>
              <w:t xml:space="preserve">The </w:t>
            </w:r>
            <w:r>
              <w:rPr>
                <w:rFonts w:ascii="Arial" w:hAnsi="Arial" w:cs="Arial"/>
                <w:b/>
              </w:rPr>
              <w:lastRenderedPageBreak/>
              <w:t xml:space="preserve">freshwater action plans may describe both regulatory measures and non-regulatory measure to achieve target attribute states. Mana whenua are enabled to partner with the Regional Council through adequate funding and resourcing. will outline non-regulatory measures, which, along with limits and other rules, </w:t>
            </w:r>
            <w:r>
              <w:rPr>
                <w:rFonts w:ascii="Arial" w:hAnsi="Arial" w:cs="Arial"/>
                <w:strike/>
              </w:rPr>
              <w:t>will achieve target attribute states. Where an action plan is required by the NPS-FM it shall contain both regulatory and non-regulatory actions.</w:t>
            </w:r>
            <w:r>
              <w:t> </w:t>
            </w:r>
          </w:p>
        </w:tc>
      </w:tr>
      <w:tr w:rsidR="00A232DE" w:rsidRPr="0011437E" w14:paraId="595C780F" w14:textId="77777777" w:rsidTr="0044579D">
        <w:trPr>
          <w:trHeight w:val="459"/>
        </w:trPr>
        <w:tc>
          <w:tcPr>
            <w:cnfStyle w:val="001000000000" w:firstRow="0" w:lastRow="0" w:firstColumn="1" w:lastColumn="0" w:oddVBand="0" w:evenVBand="0" w:oddHBand="0" w:evenHBand="0" w:firstRowFirstColumn="0" w:firstRowLastColumn="0" w:lastRowFirstColumn="0" w:lastRowLastColumn="0"/>
            <w:tcW w:w="1173" w:type="dxa"/>
          </w:tcPr>
          <w:p w14:paraId="57654B50" w14:textId="77777777" w:rsidR="00A232DE" w:rsidRPr="0011437E" w:rsidRDefault="00A232DE" w:rsidP="00ED7B02">
            <w:pPr>
              <w:rPr>
                <w:rFonts w:ascii="Arial" w:hAnsi="Arial" w:cs="Arial"/>
                <w:sz w:val="18"/>
                <w:szCs w:val="18"/>
                <w:lang w:val="en-NZ"/>
              </w:rPr>
            </w:pPr>
            <w:r w:rsidRPr="0011437E">
              <w:rPr>
                <w:rFonts w:ascii="Arial" w:hAnsi="Arial" w:cs="Arial"/>
                <w:sz w:val="18"/>
                <w:szCs w:val="18"/>
              </w:rPr>
              <w:lastRenderedPageBreak/>
              <w:t xml:space="preserve"> S167 Taranaki Whānui </w:t>
            </w:r>
          </w:p>
        </w:tc>
        <w:tc>
          <w:tcPr>
            <w:tcW w:w="1355" w:type="dxa"/>
          </w:tcPr>
          <w:p w14:paraId="64071EE4"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S167.0141</w:t>
            </w:r>
          </w:p>
        </w:tc>
        <w:tc>
          <w:tcPr>
            <w:tcW w:w="1158" w:type="dxa"/>
          </w:tcPr>
          <w:p w14:paraId="4097B972"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Method FW.1: Freshwater Action Plans </w:t>
            </w:r>
          </w:p>
        </w:tc>
        <w:tc>
          <w:tcPr>
            <w:tcW w:w="873" w:type="dxa"/>
          </w:tcPr>
          <w:p w14:paraId="17B223F5"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4282" w:type="dxa"/>
          </w:tcPr>
          <w:p w14:paraId="281A23CE"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Taranaki Whānui support the inclusion of this method. </w:t>
            </w:r>
            <w:r w:rsidRPr="0011437E">
              <w:rPr>
                <w:rFonts w:ascii="Arial" w:hAnsi="Arial" w:cs="Arial"/>
                <w:sz w:val="18"/>
                <w:szCs w:val="18"/>
              </w:rPr>
              <w:br/>
            </w:r>
            <w:r w:rsidRPr="0011437E">
              <w:rPr>
                <w:rFonts w:ascii="Arial" w:hAnsi="Arial" w:cs="Arial"/>
                <w:sz w:val="18"/>
                <w:szCs w:val="18"/>
              </w:rPr>
              <w:br/>
              <w:t>Taranaki Whānui  would like to see clear statements on the resourcing/funding and capability building of mana whenua partners included in the description.</w:t>
            </w:r>
          </w:p>
        </w:tc>
        <w:tc>
          <w:tcPr>
            <w:tcW w:w="5334" w:type="dxa"/>
          </w:tcPr>
          <w:p w14:paraId="0DDC595A" w14:textId="77777777" w:rsidR="00A232DE" w:rsidRPr="0011437E" w:rsidRDefault="00A232DE"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bl>
    <w:p w14:paraId="27D346FF" w14:textId="05E8042E" w:rsidR="00FD3529" w:rsidRDefault="00FD3529" w:rsidP="0011437E">
      <w:pPr>
        <w:rPr>
          <w:lang w:val="en-NZ"/>
        </w:rPr>
      </w:pPr>
    </w:p>
    <w:p w14:paraId="30F4FABB" w14:textId="77777777" w:rsidR="00FD3529" w:rsidRPr="000153F4" w:rsidRDefault="00FD3529" w:rsidP="0011437E">
      <w:pPr>
        <w:rPr>
          <w:lang w:val="en-NZ"/>
        </w:rPr>
      </w:pPr>
    </w:p>
    <w:sectPr w:rsidR="00FD3529" w:rsidRPr="000153F4" w:rsidSect="0011437E">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17A4" w14:textId="77777777" w:rsidR="00660BBC" w:rsidRDefault="00660BBC" w:rsidP="00B950E8">
      <w:pPr>
        <w:spacing w:after="0" w:line="240" w:lineRule="auto"/>
      </w:pPr>
      <w:r>
        <w:separator/>
      </w:r>
    </w:p>
  </w:endnote>
  <w:endnote w:type="continuationSeparator" w:id="0">
    <w:p w14:paraId="3AC471D2" w14:textId="77777777" w:rsidR="00660BBC" w:rsidRDefault="00660BBC"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9701" w14:textId="77777777" w:rsidR="001A68A7" w:rsidRDefault="001A6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744889"/>
      <w:docPartObj>
        <w:docPartGallery w:val="Page Numbers (Bottom of Page)"/>
        <w:docPartUnique/>
      </w:docPartObj>
    </w:sdtPr>
    <w:sdtEndPr/>
    <w:sdtContent>
      <w:sdt>
        <w:sdtPr>
          <w:id w:val="1728636285"/>
          <w:docPartObj>
            <w:docPartGallery w:val="Page Numbers (Top of Page)"/>
            <w:docPartUnique/>
          </w:docPartObj>
        </w:sdtPr>
        <w:sdtEndPr/>
        <w:sdtContent>
          <w:p w14:paraId="2145E8D2" w14:textId="5F6F1918" w:rsidR="00A232DE" w:rsidRDefault="00A232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15CF" w14:textId="77777777" w:rsidR="001A68A7" w:rsidRDefault="001A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F141" w14:textId="77777777" w:rsidR="00660BBC" w:rsidRDefault="00660BBC" w:rsidP="00B950E8">
      <w:pPr>
        <w:spacing w:after="0" w:line="240" w:lineRule="auto"/>
      </w:pPr>
      <w:r>
        <w:separator/>
      </w:r>
    </w:p>
  </w:footnote>
  <w:footnote w:type="continuationSeparator" w:id="0">
    <w:p w14:paraId="4E24311B" w14:textId="77777777" w:rsidR="00660BBC" w:rsidRDefault="00660BBC"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A14B" w14:textId="77777777" w:rsidR="001A68A7" w:rsidRDefault="001A6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0ABED5D5" w:rsidR="00B8487B" w:rsidRDefault="00B8487B">
    <w:pPr>
      <w:pStyle w:val="Header"/>
    </w:pPr>
    <w:r>
      <w:t xml:space="preserve">SUBMISSION POINTS BY </w:t>
    </w:r>
    <w:r w:rsidR="00FB6DDF">
      <w:t xml:space="preserve">PLAN CHAPTER – </w:t>
    </w:r>
    <w:r w:rsidR="00A232DE" w:rsidRPr="0011437E">
      <w:rPr>
        <w:rFonts w:ascii="Arial" w:hAnsi="Arial" w:cs="Arial"/>
        <w:sz w:val="18"/>
        <w:szCs w:val="18"/>
      </w:rPr>
      <w:t>Chapter 4.5: Methods to implement policies (regulatory methods)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9E93" w14:textId="77777777" w:rsidR="001A68A7" w:rsidRDefault="001A6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0D0255"/>
    <w:rsid w:val="00110AAC"/>
    <w:rsid w:val="0011437E"/>
    <w:rsid w:val="00176C2A"/>
    <w:rsid w:val="001A68A7"/>
    <w:rsid w:val="001E15A8"/>
    <w:rsid w:val="001F06D4"/>
    <w:rsid w:val="00235F42"/>
    <w:rsid w:val="002C4208"/>
    <w:rsid w:val="002D30FF"/>
    <w:rsid w:val="002E555A"/>
    <w:rsid w:val="00377853"/>
    <w:rsid w:val="003B0B4A"/>
    <w:rsid w:val="003D35B9"/>
    <w:rsid w:val="004154E5"/>
    <w:rsid w:val="0044579D"/>
    <w:rsid w:val="00456D58"/>
    <w:rsid w:val="004643B2"/>
    <w:rsid w:val="004F6CD3"/>
    <w:rsid w:val="00567A56"/>
    <w:rsid w:val="00641F69"/>
    <w:rsid w:val="00660BBC"/>
    <w:rsid w:val="006C24E0"/>
    <w:rsid w:val="006C7B5B"/>
    <w:rsid w:val="00745170"/>
    <w:rsid w:val="0091337D"/>
    <w:rsid w:val="00924C04"/>
    <w:rsid w:val="00995C56"/>
    <w:rsid w:val="00A232DE"/>
    <w:rsid w:val="00AD3E71"/>
    <w:rsid w:val="00B8487B"/>
    <w:rsid w:val="00B94216"/>
    <w:rsid w:val="00B950E8"/>
    <w:rsid w:val="00BD11DE"/>
    <w:rsid w:val="00BF01E9"/>
    <w:rsid w:val="00C0107B"/>
    <w:rsid w:val="00C50684"/>
    <w:rsid w:val="00C6550E"/>
    <w:rsid w:val="00CC4162"/>
    <w:rsid w:val="00CF2EBC"/>
    <w:rsid w:val="00CF3F5A"/>
    <w:rsid w:val="00D44FC0"/>
    <w:rsid w:val="00D63583"/>
    <w:rsid w:val="00D94FB1"/>
    <w:rsid w:val="00DA0BD9"/>
    <w:rsid w:val="00DB335A"/>
    <w:rsid w:val="00E118DB"/>
    <w:rsid w:val="00E63586"/>
    <w:rsid w:val="00E912F5"/>
    <w:rsid w:val="00EE4945"/>
    <w:rsid w:val="00F90A46"/>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3770424</RecordID>
    <_dlc_DocId xmlns="e6476298-2e29-4370-97b5-3b69827fb5e9">RSPCHNG-96589757-255</_dlc_DocId>
    <_dlc_DocIdUrl xmlns="e6476298-2e29-4370-97b5-3b69827fb5e9">
      <Url>https://ourspace.gw.govt.nz/project/rspchng/_layouts/15/DocIdRedir.aspx?ID=RSPCHNG-96589757-255</Url>
      <Description>RSPCHNG-96589757-255</Description>
    </_dlc_DocIdUrl>
  </documentManagement>
</p:properties>
</file>

<file path=customXml/itemProps1.xml><?xml version="1.0" encoding="utf-8"?>
<ds:datastoreItem xmlns:ds="http://schemas.openxmlformats.org/officeDocument/2006/customXml" ds:itemID="{8BDD18AB-ABF7-4269-B7A1-6269AA25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F9986-8BE7-4643-8BA4-B7001EE7B872}">
  <ds:schemaRefs>
    <ds:schemaRef ds:uri="http://schemas.microsoft.com/sharepoint/events"/>
  </ds:schemaRefs>
</ds:datastoreItem>
</file>

<file path=customXml/itemProps3.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4.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5.xml><?xml version="1.0" encoding="utf-8"?>
<ds:datastoreItem xmlns:ds="http://schemas.openxmlformats.org/officeDocument/2006/customXml" ds:itemID="{A817B1DB-C012-4004-9B21-FF929F626549}">
  <ds:schemaRefs>
    <ds:schemaRef ds:uri="http://schemas.microsoft.com/office/2006/metadata/properties"/>
    <ds:schemaRef ds:uri="http://schemas.microsoft.com/office/infopath/2007/PartnerControls"/>
    <ds:schemaRef ds:uri="a476884f-b6e6-4d6d-bed2-5e9c1d8da3ce"/>
    <ds:schemaRef ds:uri="e21cbe00-2104-4159-b9b9-bd54555d1bf2"/>
    <ds:schemaRef ds:uri="ce72f94b-53e5-49f5-adb9-3c093685bfe9"/>
    <ds:schemaRef ds:uri="902df3e6-6458-4633-8dce-1160d9178ee3"/>
    <ds:schemaRef ds:uri="e6476298-2e29-4370-97b5-3b69827fb5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3</cp:revision>
  <dcterms:created xsi:type="dcterms:W3CDTF">2022-12-02T07:11:00Z</dcterms:created>
  <dcterms:modified xsi:type="dcterms:W3CDTF">2022-12-02T07:12:00Z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c4924410-c8df-4737-b2c5-1402db5ae0d3</vt:lpwstr>
  </property>
</Properties>
</file>